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1AC7" w14:textId="16F5BABA" w:rsidR="00314466" w:rsidRPr="00297E43" w:rsidRDefault="00314466" w:rsidP="00314466">
      <w:pPr>
        <w:jc w:val="left"/>
        <w:rPr>
          <w:rFonts w:ascii="Times New Roman" w:hAnsi="Times New Roman"/>
          <w:color w:val="auto"/>
          <w:sz w:val="24"/>
        </w:rPr>
      </w:pPr>
      <w:r w:rsidRPr="00297E43">
        <w:rPr>
          <w:rFonts w:cstheme="minorHAnsi"/>
          <w:b/>
          <w:noProof/>
          <w:color w:val="auto"/>
          <w:lang w:eastAsia="pt-BR"/>
        </w:rPr>
        <mc:AlternateContent>
          <mc:Choice Requires="wps">
            <w:drawing>
              <wp:anchor distT="0" distB="0" distL="114300" distR="114300" simplePos="0" relativeHeight="251659264" behindDoc="0" locked="0" layoutInCell="1" allowOverlap="1" wp14:anchorId="6A6574D3" wp14:editId="6F9D210A">
                <wp:simplePos x="0" y="0"/>
                <wp:positionH relativeFrom="column">
                  <wp:posOffset>5126355</wp:posOffset>
                </wp:positionH>
                <wp:positionV relativeFrom="paragraph">
                  <wp:posOffset>-974580</wp:posOffset>
                </wp:positionV>
                <wp:extent cx="1371600" cy="10725150"/>
                <wp:effectExtent l="0" t="0" r="1270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25150"/>
                        </a:xfrm>
                        <a:prstGeom prst="rect">
                          <a:avLst/>
                        </a:prstGeom>
                        <a:solidFill>
                          <a:srgbClr val="5F708D"/>
                        </a:solidFill>
                        <a:ln>
                          <a:solidFill>
                            <a:srgbClr val="576B8A"/>
                          </a:solidFill>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FE995B" id="Retângulo 2" o:spid="_x0000_s1026" style="position:absolute;margin-left:403.65pt;margin-top:-76.75pt;width:108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" fillcolor="#5f708d" strokecolor="#576b8a"/>
            </w:pict>
          </mc:Fallback>
        </mc:AlternateContent>
      </w:r>
      <w:r w:rsidRPr="00297E43">
        <w:rPr>
          <w:color w:val="auto"/>
        </w:rPr>
        <w:fldChar w:fldCharType="begin"/>
      </w:r>
      <w:r w:rsidRPr="00297E43">
        <w:rPr>
          <w:color w:val="auto"/>
        </w:rPr>
        <w:instrText xml:space="preserve"> INCLUDEPICTURE "https://www.prevbomjesus.com.br/themes/wc_RPPS/img/logo-90x90.png" \* MERGEFORMATINET </w:instrText>
      </w:r>
      <w:r w:rsidRPr="00297E43">
        <w:rPr>
          <w:color w:val="auto"/>
        </w:rPr>
        <w:fldChar w:fldCharType="end"/>
      </w:r>
    </w:p>
    <w:p w14:paraId="6C1ED3EE" w14:textId="7D007E2F" w:rsidR="00FF26AD" w:rsidRPr="00297E43" w:rsidRDefault="00314466" w:rsidP="00314466">
      <w:pPr>
        <w:rPr>
          <w:rFonts w:ascii="Century Gothic" w:hAnsi="Century Gothic"/>
          <w:b/>
          <w:color w:val="auto"/>
        </w:rPr>
      </w:pPr>
      <w:r w:rsidRPr="00297E43">
        <w:rPr>
          <w:rFonts w:cstheme="minorHAnsi"/>
          <w:b/>
          <w:noProof/>
          <w:color w:val="auto"/>
          <w:lang w:eastAsia="pt-BR"/>
        </w:rPr>
        <w:t xml:space="preserve"> </w:t>
      </w:r>
    </w:p>
    <w:p w14:paraId="75B53915" w14:textId="46B3C5AF" w:rsidR="00FF26AD" w:rsidRPr="00297E43" w:rsidRDefault="00FF26AD" w:rsidP="00687BFD">
      <w:pPr>
        <w:rPr>
          <w:rFonts w:ascii="Century Gothic" w:hAnsi="Century Gothic"/>
          <w:b/>
          <w:color w:val="auto"/>
        </w:rPr>
      </w:pPr>
    </w:p>
    <w:p w14:paraId="445BE2EC" w14:textId="278378D1" w:rsidR="00FF26AD" w:rsidRPr="00297E43" w:rsidRDefault="00FF26AD" w:rsidP="00687BFD">
      <w:pPr>
        <w:rPr>
          <w:rFonts w:ascii="Century Gothic" w:hAnsi="Century Gothic"/>
          <w:b/>
          <w:color w:val="auto"/>
        </w:rPr>
      </w:pPr>
    </w:p>
    <w:p w14:paraId="141D6129" w14:textId="776D94A4" w:rsidR="00FF26AD" w:rsidRPr="00297E43" w:rsidRDefault="00FF26AD" w:rsidP="00687BFD">
      <w:pPr>
        <w:rPr>
          <w:rFonts w:ascii="Century Gothic" w:hAnsi="Century Gothic"/>
          <w:b/>
          <w:color w:val="auto"/>
        </w:rPr>
      </w:pPr>
    </w:p>
    <w:p w14:paraId="46252B2D" w14:textId="17957F35" w:rsidR="00FF26AD" w:rsidRPr="00297E43" w:rsidRDefault="00FF26AD" w:rsidP="00687BFD">
      <w:pPr>
        <w:rPr>
          <w:rFonts w:ascii="Century Gothic" w:hAnsi="Century Gothic"/>
          <w:b/>
          <w:color w:val="auto"/>
        </w:rPr>
      </w:pPr>
    </w:p>
    <w:p w14:paraId="1AF6298D" w14:textId="5BE466E8" w:rsidR="00FF26AD" w:rsidRPr="00297E43" w:rsidRDefault="00FF26AD" w:rsidP="00687BFD">
      <w:pPr>
        <w:rPr>
          <w:rFonts w:ascii="Century Gothic" w:hAnsi="Century Gothic"/>
          <w:b/>
          <w:color w:val="auto"/>
        </w:rPr>
      </w:pPr>
    </w:p>
    <w:p w14:paraId="70A4D5A5" w14:textId="2A663CAD" w:rsidR="00FF26AD" w:rsidRPr="00297E43" w:rsidRDefault="00314466" w:rsidP="00687BFD">
      <w:pPr>
        <w:rPr>
          <w:rFonts w:ascii="Century Gothic" w:hAnsi="Century Gothic"/>
          <w:b/>
          <w:color w:val="auto"/>
        </w:rPr>
      </w:pPr>
      <w:r w:rsidRPr="00297E43">
        <w:rPr>
          <w:noProof/>
          <w:color w:val="auto"/>
          <w:lang w:eastAsia="pt-BR"/>
        </w:rPr>
        <w:drawing>
          <wp:anchor distT="0" distB="0" distL="114300" distR="114300" simplePos="0" relativeHeight="251660288" behindDoc="0" locked="0" layoutInCell="1" allowOverlap="1" wp14:anchorId="38D71A13" wp14:editId="5B0A6B9F">
            <wp:simplePos x="0" y="0"/>
            <wp:positionH relativeFrom="column">
              <wp:posOffset>1767237</wp:posOffset>
            </wp:positionH>
            <wp:positionV relativeFrom="paragraph">
              <wp:posOffset>177133</wp:posOffset>
            </wp:positionV>
            <wp:extent cx="1412112" cy="141211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642" cy="1413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50975" w14:textId="38B2474E" w:rsidR="00FF26AD" w:rsidRPr="00297E43" w:rsidRDefault="00FF26AD" w:rsidP="00687BFD">
      <w:pPr>
        <w:tabs>
          <w:tab w:val="left" w:pos="6422"/>
        </w:tabs>
        <w:rPr>
          <w:rFonts w:ascii="Century Gothic" w:hAnsi="Century Gothic"/>
          <w:b/>
          <w:color w:val="auto"/>
        </w:rPr>
      </w:pPr>
    </w:p>
    <w:p w14:paraId="1C68CAB6" w14:textId="77777777" w:rsidR="00FF26AD" w:rsidRPr="00297E43" w:rsidRDefault="00FF26AD" w:rsidP="00687BFD">
      <w:pPr>
        <w:rPr>
          <w:rFonts w:ascii="Century Gothic" w:hAnsi="Century Gothic"/>
          <w:b/>
          <w:color w:val="auto"/>
        </w:rPr>
      </w:pPr>
    </w:p>
    <w:p w14:paraId="7B356FAC" w14:textId="77777777" w:rsidR="00FF26AD" w:rsidRPr="00297E43" w:rsidRDefault="00FF26AD" w:rsidP="00687BFD">
      <w:pPr>
        <w:rPr>
          <w:rFonts w:ascii="Century Gothic" w:hAnsi="Century Gothic"/>
          <w:b/>
          <w:color w:val="auto"/>
        </w:rPr>
      </w:pPr>
    </w:p>
    <w:p w14:paraId="4C0A053B" w14:textId="77777777" w:rsidR="00FF26AD" w:rsidRPr="00297E43" w:rsidRDefault="00FF26AD" w:rsidP="00687BFD">
      <w:pPr>
        <w:rPr>
          <w:rFonts w:ascii="Century Gothic" w:hAnsi="Century Gothic"/>
          <w:b/>
          <w:color w:val="auto"/>
        </w:rPr>
      </w:pPr>
    </w:p>
    <w:p w14:paraId="37778A11" w14:textId="77777777" w:rsidR="00FF26AD" w:rsidRPr="00297E43" w:rsidRDefault="00FF26AD" w:rsidP="00687BFD">
      <w:pPr>
        <w:rPr>
          <w:rFonts w:ascii="Century Gothic" w:hAnsi="Century Gothic"/>
          <w:b/>
          <w:color w:val="auto"/>
        </w:rPr>
      </w:pPr>
    </w:p>
    <w:p w14:paraId="7FF87BA6" w14:textId="77777777" w:rsidR="00FF26AD" w:rsidRPr="00297E43" w:rsidRDefault="00FF26AD" w:rsidP="00687BFD">
      <w:pPr>
        <w:rPr>
          <w:rFonts w:ascii="Century Gothic" w:hAnsi="Century Gothic"/>
          <w:b/>
          <w:color w:val="auto"/>
        </w:rPr>
      </w:pPr>
    </w:p>
    <w:p w14:paraId="7AAC8876" w14:textId="77777777" w:rsidR="00FF26AD" w:rsidRPr="00297E43" w:rsidRDefault="00FF26AD" w:rsidP="00687BFD">
      <w:pPr>
        <w:rPr>
          <w:rFonts w:ascii="Century Gothic" w:hAnsi="Century Gothic"/>
          <w:b/>
          <w:color w:val="auto"/>
        </w:rPr>
      </w:pPr>
    </w:p>
    <w:p w14:paraId="47FC0C21" w14:textId="77777777" w:rsidR="00FF26AD" w:rsidRPr="00297E43" w:rsidRDefault="00FF26AD" w:rsidP="00687BFD">
      <w:pPr>
        <w:rPr>
          <w:rFonts w:ascii="Century Gothic" w:hAnsi="Century Gothic"/>
          <w:b/>
          <w:color w:val="auto"/>
        </w:rPr>
      </w:pPr>
    </w:p>
    <w:p w14:paraId="2B6A322B" w14:textId="346D4386" w:rsidR="00FF26AD" w:rsidRPr="00297E43" w:rsidRDefault="006560C7" w:rsidP="00314466">
      <w:pPr>
        <w:ind w:left="-426"/>
        <w:jc w:val="center"/>
        <w:rPr>
          <w:b/>
          <w:color w:val="auto"/>
          <w:sz w:val="40"/>
        </w:rPr>
      </w:pPr>
      <w:r w:rsidRPr="00297E43">
        <w:rPr>
          <w:b/>
          <w:color w:val="auto"/>
          <w:sz w:val="40"/>
        </w:rPr>
        <w:t>POLÍTICA DE INVESTIMENTOS</w:t>
      </w:r>
      <w:r w:rsidR="00CB3977" w:rsidRPr="00297E43">
        <w:rPr>
          <w:b/>
          <w:color w:val="auto"/>
          <w:sz w:val="40"/>
        </w:rPr>
        <w:t xml:space="preserve"> 20</w:t>
      </w:r>
      <w:r w:rsidR="00F84BE0" w:rsidRPr="00297E43">
        <w:rPr>
          <w:b/>
          <w:color w:val="auto"/>
          <w:sz w:val="40"/>
        </w:rPr>
        <w:t>20</w:t>
      </w:r>
    </w:p>
    <w:p w14:paraId="36549B2D" w14:textId="77777777" w:rsidR="00314466" w:rsidRPr="00297E43" w:rsidRDefault="00656721" w:rsidP="00314466">
      <w:pPr>
        <w:ind w:left="-426" w:right="991"/>
        <w:jc w:val="center"/>
        <w:rPr>
          <w:color w:val="auto"/>
          <w:sz w:val="24"/>
          <w:szCs w:val="24"/>
        </w:rPr>
      </w:pPr>
      <w:r w:rsidRPr="00297E43">
        <w:rPr>
          <w:color w:val="auto"/>
          <w:sz w:val="24"/>
          <w:szCs w:val="24"/>
        </w:rPr>
        <w:t>INSTITUTO DE PREVIDÊNCIA DOS SERVIDORES PÚBLICOS DO MUNICÍPIO DE</w:t>
      </w:r>
    </w:p>
    <w:p w14:paraId="7B05AA5F" w14:textId="3EB163F6" w:rsidR="00F84BE0" w:rsidRPr="00297E43" w:rsidRDefault="00656721" w:rsidP="00314466">
      <w:pPr>
        <w:ind w:left="-426" w:right="991"/>
        <w:jc w:val="center"/>
        <w:rPr>
          <w:color w:val="auto"/>
          <w:sz w:val="24"/>
          <w:szCs w:val="24"/>
        </w:rPr>
      </w:pPr>
      <w:r w:rsidRPr="00297E43">
        <w:rPr>
          <w:color w:val="auto"/>
          <w:sz w:val="24"/>
          <w:szCs w:val="24"/>
        </w:rPr>
        <w:t>BOM JESUS DOS PERDÕES</w:t>
      </w:r>
    </w:p>
    <w:p w14:paraId="2365F367" w14:textId="77777777" w:rsidR="00F84BE0" w:rsidRPr="00297E43" w:rsidRDefault="00F84BE0" w:rsidP="00F84BE0">
      <w:pPr>
        <w:rPr>
          <w:color w:val="auto"/>
        </w:rPr>
      </w:pPr>
    </w:p>
    <w:p w14:paraId="193777AF" w14:textId="77777777" w:rsidR="00F84BE0" w:rsidRPr="00297E43" w:rsidRDefault="00F84BE0" w:rsidP="00F84BE0">
      <w:pPr>
        <w:rPr>
          <w:color w:val="auto"/>
        </w:rPr>
      </w:pPr>
    </w:p>
    <w:p w14:paraId="7FF73010" w14:textId="77777777" w:rsidR="00F84BE0" w:rsidRPr="00297E43" w:rsidRDefault="00F84BE0" w:rsidP="00F84BE0">
      <w:pPr>
        <w:rPr>
          <w:color w:val="auto"/>
        </w:rPr>
      </w:pPr>
    </w:p>
    <w:p w14:paraId="48FBDE8E" w14:textId="77777777" w:rsidR="00F84BE0" w:rsidRPr="00297E43" w:rsidRDefault="00F84BE0" w:rsidP="00F84BE0">
      <w:pPr>
        <w:rPr>
          <w:color w:val="auto"/>
        </w:rPr>
      </w:pPr>
    </w:p>
    <w:p w14:paraId="0195DA76" w14:textId="77777777" w:rsidR="00F84BE0" w:rsidRPr="00297E43" w:rsidRDefault="00F84BE0" w:rsidP="00F84BE0">
      <w:pPr>
        <w:rPr>
          <w:color w:val="auto"/>
        </w:rPr>
      </w:pPr>
    </w:p>
    <w:p w14:paraId="6CEA916B" w14:textId="77777777" w:rsidR="00F84BE0" w:rsidRPr="00297E43" w:rsidRDefault="00F84BE0" w:rsidP="00F84BE0">
      <w:pPr>
        <w:rPr>
          <w:color w:val="auto"/>
        </w:rPr>
      </w:pPr>
    </w:p>
    <w:p w14:paraId="7DD9AAAF" w14:textId="77777777" w:rsidR="00F84BE0" w:rsidRPr="00297E43" w:rsidRDefault="00F84BE0" w:rsidP="00F84BE0">
      <w:pPr>
        <w:rPr>
          <w:color w:val="auto"/>
        </w:rPr>
      </w:pPr>
    </w:p>
    <w:p w14:paraId="2275E7D9" w14:textId="77777777" w:rsidR="00F84BE0" w:rsidRPr="00297E43" w:rsidRDefault="00F84BE0" w:rsidP="00F84BE0">
      <w:pPr>
        <w:rPr>
          <w:color w:val="auto"/>
        </w:rPr>
      </w:pPr>
    </w:p>
    <w:p w14:paraId="5F807536" w14:textId="77777777" w:rsidR="00F84BE0" w:rsidRPr="00297E43" w:rsidRDefault="00F84BE0" w:rsidP="00F84BE0">
      <w:pPr>
        <w:rPr>
          <w:color w:val="auto"/>
        </w:rPr>
      </w:pPr>
    </w:p>
    <w:tbl>
      <w:tblPr>
        <w:tblStyle w:val="Tabelacomgrade"/>
        <w:tblpPr w:leftFromText="141" w:rightFromText="141" w:vertAnchor="text" w:horzAnchor="margin" w:tblpX="-208" w:tblpY="1600"/>
        <w:tblW w:w="4436" w:type="pct"/>
        <w:tblBorders>
          <w:top w:val="dotted" w:sz="2" w:space="0" w:color="7F7F7F" w:themeColor="text1" w:themeTint="80"/>
          <w:left w:val="dotted" w:sz="2" w:space="0" w:color="7F7F7F" w:themeColor="text1" w:themeTint="80"/>
          <w:bottom w:val="dotted" w:sz="2" w:space="0" w:color="7F7F7F" w:themeColor="text1" w:themeTint="80"/>
          <w:right w:val="dotted" w:sz="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4121"/>
        <w:gridCol w:w="2055"/>
        <w:gridCol w:w="987"/>
        <w:gridCol w:w="1076"/>
      </w:tblGrid>
      <w:tr w:rsidR="00297E43" w:rsidRPr="00297E43" w14:paraId="3D3AFEEE" w14:textId="77777777" w:rsidTr="006956F7">
        <w:trPr>
          <w:trHeight w:val="35"/>
        </w:trPr>
        <w:tc>
          <w:tcPr>
            <w:tcW w:w="3748" w:type="pct"/>
            <w:gridSpan w:val="2"/>
            <w:vAlign w:val="center"/>
          </w:tcPr>
          <w:p w14:paraId="5528676F" w14:textId="77777777" w:rsidR="006956F7" w:rsidRPr="00297E43" w:rsidRDefault="006956F7" w:rsidP="006956F7">
            <w:pPr>
              <w:pStyle w:val="Rodap"/>
              <w:ind w:left="175"/>
              <w:jc w:val="center"/>
              <w:rPr>
                <w:b/>
                <w:color w:val="auto"/>
                <w:sz w:val="16"/>
                <w:szCs w:val="16"/>
              </w:rPr>
            </w:pPr>
            <w:r w:rsidRPr="00297E43">
              <w:rPr>
                <w:b/>
                <w:color w:val="auto"/>
                <w:szCs w:val="16"/>
              </w:rPr>
              <w:t>Política de Investimentos</w:t>
            </w:r>
          </w:p>
        </w:tc>
        <w:tc>
          <w:tcPr>
            <w:tcW w:w="599" w:type="pct"/>
          </w:tcPr>
          <w:p w14:paraId="0A14F45B" w14:textId="77777777" w:rsidR="006956F7" w:rsidRPr="00297E43" w:rsidRDefault="006956F7" w:rsidP="006956F7">
            <w:pPr>
              <w:pStyle w:val="Rodap"/>
              <w:jc w:val="center"/>
              <w:rPr>
                <w:b/>
                <w:color w:val="auto"/>
                <w:sz w:val="16"/>
                <w:szCs w:val="16"/>
              </w:rPr>
            </w:pPr>
            <w:r w:rsidRPr="00297E43">
              <w:rPr>
                <w:b/>
                <w:color w:val="auto"/>
                <w:sz w:val="16"/>
                <w:szCs w:val="16"/>
              </w:rPr>
              <w:t>VERSÃO</w:t>
            </w:r>
          </w:p>
          <w:p w14:paraId="60EEF12B" w14:textId="77777777" w:rsidR="006956F7" w:rsidRPr="00297E43" w:rsidRDefault="006956F7" w:rsidP="006956F7">
            <w:pPr>
              <w:pStyle w:val="Rodap"/>
              <w:jc w:val="center"/>
              <w:rPr>
                <w:color w:val="auto"/>
                <w:sz w:val="16"/>
                <w:szCs w:val="16"/>
              </w:rPr>
            </w:pPr>
            <w:r w:rsidRPr="00297E43">
              <w:rPr>
                <w:color w:val="auto"/>
                <w:sz w:val="16"/>
                <w:szCs w:val="16"/>
              </w:rPr>
              <w:t>1</w:t>
            </w:r>
          </w:p>
        </w:tc>
        <w:tc>
          <w:tcPr>
            <w:tcW w:w="653" w:type="pct"/>
          </w:tcPr>
          <w:p w14:paraId="49A6DB9B" w14:textId="77777777" w:rsidR="006956F7" w:rsidRPr="00297E43" w:rsidRDefault="006956F7" w:rsidP="006956F7">
            <w:pPr>
              <w:pStyle w:val="Rodap"/>
              <w:jc w:val="center"/>
              <w:rPr>
                <w:b/>
                <w:color w:val="auto"/>
                <w:sz w:val="16"/>
                <w:szCs w:val="16"/>
              </w:rPr>
            </w:pPr>
            <w:r w:rsidRPr="00297E43">
              <w:rPr>
                <w:b/>
                <w:color w:val="auto"/>
                <w:sz w:val="16"/>
                <w:szCs w:val="16"/>
              </w:rPr>
              <w:t>APROVADO</w:t>
            </w:r>
          </w:p>
          <w:p w14:paraId="2143B31C" w14:textId="67356809" w:rsidR="006956F7" w:rsidRPr="00297E43" w:rsidRDefault="00EF6A92" w:rsidP="006956F7">
            <w:pPr>
              <w:pStyle w:val="Rodap"/>
              <w:jc w:val="center"/>
              <w:rPr>
                <w:color w:val="auto"/>
                <w:sz w:val="16"/>
                <w:szCs w:val="16"/>
              </w:rPr>
            </w:pPr>
            <w:r>
              <w:rPr>
                <w:color w:val="auto"/>
                <w:sz w:val="16"/>
                <w:szCs w:val="16"/>
              </w:rPr>
              <w:t>21/12/2019</w:t>
            </w:r>
            <w:bookmarkStart w:id="0" w:name="_GoBack"/>
            <w:bookmarkEnd w:id="0"/>
          </w:p>
        </w:tc>
      </w:tr>
      <w:tr w:rsidR="00297E43" w:rsidRPr="00297E43" w14:paraId="0AC3FC52" w14:textId="77777777" w:rsidTr="006956F7">
        <w:trPr>
          <w:trHeight w:val="35"/>
        </w:trPr>
        <w:tc>
          <w:tcPr>
            <w:tcW w:w="2501" w:type="pct"/>
            <w:vAlign w:val="center"/>
          </w:tcPr>
          <w:p w14:paraId="1B52CE6C" w14:textId="77777777" w:rsidR="006956F7" w:rsidRPr="00297E43" w:rsidRDefault="006956F7" w:rsidP="006956F7">
            <w:pPr>
              <w:pStyle w:val="Rodap"/>
              <w:jc w:val="center"/>
              <w:rPr>
                <w:i/>
                <w:color w:val="auto"/>
                <w:sz w:val="16"/>
                <w:szCs w:val="16"/>
              </w:rPr>
            </w:pPr>
            <w:r w:rsidRPr="00297E43">
              <w:rPr>
                <w:b/>
                <w:color w:val="auto"/>
                <w:sz w:val="16"/>
                <w:szCs w:val="16"/>
              </w:rPr>
              <w:t>Elaboração:</w:t>
            </w:r>
            <w:r w:rsidRPr="00297E43">
              <w:rPr>
                <w:color w:val="auto"/>
                <w:sz w:val="16"/>
                <w:szCs w:val="16"/>
              </w:rPr>
              <w:t xml:space="preserve"> Comitê de Investimentos</w:t>
            </w:r>
          </w:p>
        </w:tc>
        <w:tc>
          <w:tcPr>
            <w:tcW w:w="2499" w:type="pct"/>
            <w:gridSpan w:val="3"/>
            <w:vAlign w:val="center"/>
          </w:tcPr>
          <w:p w14:paraId="52C5D688" w14:textId="77777777" w:rsidR="006956F7" w:rsidRPr="00297E43" w:rsidRDefault="006956F7" w:rsidP="006956F7">
            <w:pPr>
              <w:pStyle w:val="Rodap"/>
              <w:jc w:val="center"/>
              <w:rPr>
                <w:color w:val="auto"/>
                <w:sz w:val="16"/>
                <w:szCs w:val="16"/>
              </w:rPr>
            </w:pPr>
            <w:r w:rsidRPr="00297E43">
              <w:rPr>
                <w:b/>
                <w:color w:val="auto"/>
                <w:sz w:val="16"/>
                <w:szCs w:val="16"/>
              </w:rPr>
              <w:t>Aprovação:</w:t>
            </w:r>
            <w:r w:rsidRPr="00297E43">
              <w:rPr>
                <w:color w:val="auto"/>
                <w:sz w:val="16"/>
                <w:szCs w:val="16"/>
              </w:rPr>
              <w:t xml:space="preserve"> Conselho Deliberativo</w:t>
            </w:r>
          </w:p>
        </w:tc>
      </w:tr>
    </w:tbl>
    <w:p w14:paraId="18B66B3E" w14:textId="1820436B" w:rsidR="00D81DF8" w:rsidRPr="00297E43" w:rsidRDefault="006956F7" w:rsidP="00F84BE0">
      <w:pPr>
        <w:rPr>
          <w:color w:val="auto"/>
        </w:rPr>
      </w:pPr>
      <w:r w:rsidRPr="00297E43">
        <w:rPr>
          <w:color w:val="auto"/>
        </w:rPr>
        <w:t xml:space="preserve"> </w:t>
      </w:r>
      <w:r w:rsidR="00D81DF8" w:rsidRPr="00297E43">
        <w:rPr>
          <w:color w:val="auto"/>
        </w:rPr>
        <w:br w:type="page"/>
      </w:r>
    </w:p>
    <w:sdt>
      <w:sdtPr>
        <w:rPr>
          <w:bCs/>
          <w:color w:val="auto"/>
          <w:sz w:val="24"/>
        </w:rPr>
        <w:id w:val="1261562148"/>
        <w:docPartObj>
          <w:docPartGallery w:val="Table of Contents"/>
          <w:docPartUnique/>
        </w:docPartObj>
      </w:sdtPr>
      <w:sdtEndPr>
        <w:rPr>
          <w:b/>
          <w:sz w:val="12"/>
          <w:szCs w:val="16"/>
        </w:rPr>
      </w:sdtEndPr>
      <w:sdtContent>
        <w:p w14:paraId="293CDEB9" w14:textId="77777777" w:rsidR="00CC3E23" w:rsidRPr="00297E43" w:rsidRDefault="00CC3E23" w:rsidP="007B1153">
          <w:pPr>
            <w:jc w:val="center"/>
            <w:rPr>
              <w:b/>
              <w:color w:val="auto"/>
              <w:sz w:val="24"/>
            </w:rPr>
          </w:pPr>
          <w:r w:rsidRPr="00297E43">
            <w:rPr>
              <w:b/>
              <w:color w:val="auto"/>
              <w:sz w:val="24"/>
            </w:rPr>
            <w:t>SUMÁRIO</w:t>
          </w:r>
        </w:p>
        <w:p w14:paraId="393078B8" w14:textId="77777777" w:rsidR="009B5845" w:rsidRPr="00297E43" w:rsidRDefault="00CC3E23">
          <w:pPr>
            <w:pStyle w:val="Sumrio1"/>
            <w:tabs>
              <w:tab w:val="left" w:pos="400"/>
              <w:tab w:val="right" w:leader="dot" w:pos="9061"/>
            </w:tabs>
            <w:rPr>
              <w:rFonts w:asciiTheme="minorHAnsi" w:eastAsiaTheme="minorEastAsia" w:hAnsiTheme="minorHAnsi"/>
              <w:noProof/>
              <w:color w:val="auto"/>
              <w:sz w:val="22"/>
              <w:lang w:eastAsia="pt-BR"/>
            </w:rPr>
          </w:pPr>
          <w:r w:rsidRPr="00297E43">
            <w:rPr>
              <w:bCs/>
              <w:color w:val="auto"/>
              <w:sz w:val="8"/>
              <w:szCs w:val="16"/>
            </w:rPr>
            <w:fldChar w:fldCharType="begin"/>
          </w:r>
          <w:r w:rsidRPr="00297E43">
            <w:rPr>
              <w:bCs/>
              <w:color w:val="auto"/>
              <w:sz w:val="8"/>
              <w:szCs w:val="16"/>
            </w:rPr>
            <w:instrText xml:space="preserve"> TOC \o "1-3" \h \z \u </w:instrText>
          </w:r>
          <w:r w:rsidRPr="00297E43">
            <w:rPr>
              <w:bCs/>
              <w:color w:val="auto"/>
              <w:sz w:val="8"/>
              <w:szCs w:val="16"/>
            </w:rPr>
            <w:fldChar w:fldCharType="separate"/>
          </w:r>
          <w:hyperlink w:anchor="_Toc20130587" w:history="1">
            <w:r w:rsidR="009B5845" w:rsidRPr="00297E43">
              <w:rPr>
                <w:rStyle w:val="Hyperlink"/>
                <w:noProof/>
                <w:color w:val="auto"/>
              </w:rPr>
              <w:t>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INTRODUÇÃO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_Toc20130587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4</w:t>
            </w:r>
            <w:r w:rsidR="009B5845" w:rsidRPr="00297E43">
              <w:rPr>
                <w:noProof/>
                <w:webHidden/>
                <w:color w:val="auto"/>
              </w:rPr>
              <w:fldChar w:fldCharType="end"/>
            </w:r>
          </w:hyperlink>
        </w:p>
        <w:p w14:paraId="1393FB3F"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588" w:history="1">
            <w:r w:rsidR="009B5845" w:rsidRPr="00297E43">
              <w:rPr>
                <w:rStyle w:val="Hyperlink"/>
                <w:noProof/>
                <w:color w:val="auto"/>
              </w:rPr>
              <w:t>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OBJETIVO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_Toc20130588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5</w:t>
            </w:r>
            <w:r w:rsidR="009B5845" w:rsidRPr="00297E43">
              <w:rPr>
                <w:noProof/>
                <w:webHidden/>
                <w:color w:val="auto"/>
              </w:rPr>
              <w:fldChar w:fldCharType="end"/>
            </w:r>
          </w:hyperlink>
        </w:p>
        <w:p w14:paraId="2F1A4F8B"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589" w:history="1">
            <w:r w:rsidR="009B5845" w:rsidRPr="00297E43">
              <w:rPr>
                <w:rStyle w:val="Hyperlink"/>
                <w:noProof/>
                <w:color w:val="auto"/>
              </w:rPr>
              <w:t>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PERFIL DE INVESTIDOR</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_Toc20130589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6</w:t>
            </w:r>
            <w:r w:rsidR="009B5845" w:rsidRPr="00297E43">
              <w:rPr>
                <w:noProof/>
                <w:webHidden/>
                <w:color w:val="auto"/>
              </w:rPr>
              <w:fldChar w:fldCharType="end"/>
            </w:r>
          </w:hyperlink>
        </w:p>
        <w:p w14:paraId="1F6A4F0E"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590" w:history="1">
            <w:r w:rsidR="009B5845" w:rsidRPr="00297E43">
              <w:rPr>
                <w:rStyle w:val="Hyperlink"/>
                <w:noProof/>
                <w:color w:val="auto"/>
              </w:rPr>
              <w:t>4</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CENÁRIO ECONÔMICO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_Toc20130590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7</w:t>
            </w:r>
            <w:r w:rsidR="009B5845" w:rsidRPr="00297E43">
              <w:rPr>
                <w:noProof/>
                <w:webHidden/>
                <w:color w:val="auto"/>
              </w:rPr>
              <w:fldChar w:fldCharType="end"/>
            </w:r>
          </w:hyperlink>
        </w:p>
        <w:p w14:paraId="4C679178"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1" w:history="1">
            <w:r w:rsidR="009B5845" w:rsidRPr="00297E43">
              <w:rPr>
                <w:rStyle w:val="Hyperlink"/>
                <w:noProof/>
                <w:color w:val="auto"/>
              </w:rPr>
              <w:t>4.1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INTERNACIONAL – ANO DE 2019</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_Toc20130591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7</w:t>
            </w:r>
            <w:r w:rsidR="009B5845" w:rsidRPr="00297E43">
              <w:rPr>
                <w:noProof/>
                <w:webHidden/>
                <w:color w:val="auto"/>
              </w:rPr>
              <w:fldChar w:fldCharType="end"/>
            </w:r>
          </w:hyperlink>
        </w:p>
        <w:p w14:paraId="3C448A13"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2" w:history="1">
            <w:r w:rsidR="009B5845" w:rsidRPr="00297E43">
              <w:rPr>
                <w:rStyle w:val="Hyperlink"/>
                <w:noProof/>
                <w:color w:val="auto"/>
              </w:rPr>
              <w:t>4.2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NACIONAL – ANO 2019</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_Toc20130592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8</w:t>
            </w:r>
            <w:r w:rsidR="009B5845" w:rsidRPr="00297E43">
              <w:rPr>
                <w:noProof/>
                <w:webHidden/>
                <w:color w:val="auto"/>
              </w:rPr>
              <w:fldChar w:fldCharType="end"/>
            </w:r>
          </w:hyperlink>
        </w:p>
        <w:p w14:paraId="2C71E0CE"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3" w:history="1">
            <w:r w:rsidR="009B5845" w:rsidRPr="00297E43">
              <w:rPr>
                <w:rStyle w:val="Hyperlink"/>
                <w:noProof/>
                <w:color w:val="auto"/>
              </w:rPr>
              <w:t>4.3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PERSPECTIVAS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_Toc20130593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9</w:t>
            </w:r>
            <w:r w:rsidR="009B5845" w:rsidRPr="00297E43">
              <w:rPr>
                <w:noProof/>
                <w:webHidden/>
                <w:color w:val="auto"/>
              </w:rPr>
              <w:fldChar w:fldCharType="end"/>
            </w:r>
          </w:hyperlink>
        </w:p>
        <w:p w14:paraId="27CA19E0"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594" w:history="1">
            <w:r w:rsidR="009B5845" w:rsidRPr="00297E43">
              <w:rPr>
                <w:rStyle w:val="Hyperlink"/>
                <w:noProof/>
                <w:color w:val="auto"/>
              </w:rPr>
              <w:t>4.3.1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INTERNACIONAL – ANO 2020</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_Toc20130594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9</w:t>
            </w:r>
            <w:r w:rsidR="009B5845" w:rsidRPr="00297E43">
              <w:rPr>
                <w:noProof/>
                <w:webHidden/>
                <w:color w:val="auto"/>
              </w:rPr>
              <w:fldChar w:fldCharType="end"/>
            </w:r>
          </w:hyperlink>
        </w:p>
        <w:p w14:paraId="0F4F7474"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595" w:history="1">
            <w:r w:rsidR="009B5845" w:rsidRPr="00297E43">
              <w:rPr>
                <w:rStyle w:val="Hyperlink"/>
                <w:noProof/>
                <w:color w:val="auto"/>
              </w:rPr>
              <w:t>4.3.2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NACIONAL – ANO 2020</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_Toc20130595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11</w:t>
            </w:r>
            <w:r w:rsidR="009B5845" w:rsidRPr="00297E43">
              <w:rPr>
                <w:noProof/>
                <w:webHidden/>
                <w:color w:val="auto"/>
              </w:rPr>
              <w:fldChar w:fldCharType="end"/>
            </w:r>
          </w:hyperlink>
        </w:p>
        <w:p w14:paraId="763343F4"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6" w:history="1">
            <w:r w:rsidR="009B5845" w:rsidRPr="00297E43">
              <w:rPr>
                <w:rStyle w:val="Hyperlink"/>
                <w:noProof/>
                <w:color w:val="auto"/>
              </w:rPr>
              <w:t>4.4</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EXPECTATIVAS DE MERCADO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_Toc20130596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12</w:t>
            </w:r>
            <w:r w:rsidR="009B5845" w:rsidRPr="00297E43">
              <w:rPr>
                <w:noProof/>
                <w:webHidden/>
                <w:color w:val="auto"/>
              </w:rPr>
              <w:fldChar w:fldCharType="end"/>
            </w:r>
          </w:hyperlink>
        </w:p>
        <w:p w14:paraId="27C2E23A"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597" w:history="1">
            <w:r w:rsidR="009B5845" w:rsidRPr="00297E43">
              <w:rPr>
                <w:rStyle w:val="Hyperlink"/>
                <w:noProof/>
                <w:color w:val="auto"/>
              </w:rPr>
              <w:t>5</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ALOCAÇÃO ESTRATÉGICA DOS RECURSOS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_Toc20130597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13</w:t>
            </w:r>
            <w:r w:rsidR="009B5845" w:rsidRPr="00297E43">
              <w:rPr>
                <w:noProof/>
                <w:webHidden/>
                <w:color w:val="auto"/>
              </w:rPr>
              <w:fldChar w:fldCharType="end"/>
            </w:r>
          </w:hyperlink>
        </w:p>
        <w:p w14:paraId="7A6D84D6"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8" w:history="1">
            <w:r w:rsidR="009B5845" w:rsidRPr="00297E43">
              <w:rPr>
                <w:rStyle w:val="Hyperlink"/>
                <w:noProof/>
                <w:color w:val="auto"/>
              </w:rPr>
              <w:t>5.1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SEGMENTO DE RENDA FIXA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_Toc20130598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16</w:t>
            </w:r>
            <w:r w:rsidR="009B5845" w:rsidRPr="00297E43">
              <w:rPr>
                <w:noProof/>
                <w:webHidden/>
                <w:color w:val="auto"/>
              </w:rPr>
              <w:fldChar w:fldCharType="end"/>
            </w:r>
          </w:hyperlink>
        </w:p>
        <w:p w14:paraId="568E07AB"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599" w:history="1">
            <w:r w:rsidR="009B5845" w:rsidRPr="00297E43">
              <w:rPr>
                <w:rStyle w:val="Hyperlink"/>
                <w:noProof/>
                <w:color w:val="auto"/>
              </w:rPr>
              <w:t>5.2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SEGMENTO DE RENDA VARIÁVEL E INVESTIMENTOS ESTRUTURADOS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_Toc20130599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16</w:t>
            </w:r>
            <w:r w:rsidR="009B5845" w:rsidRPr="00297E43">
              <w:rPr>
                <w:noProof/>
                <w:webHidden/>
                <w:color w:val="auto"/>
              </w:rPr>
              <w:fldChar w:fldCharType="end"/>
            </w:r>
          </w:hyperlink>
        </w:p>
        <w:p w14:paraId="21C903C3"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0" w:history="1">
            <w:r w:rsidR="009B5845" w:rsidRPr="00297E43">
              <w:rPr>
                <w:rStyle w:val="Hyperlink"/>
                <w:noProof/>
                <w:color w:val="auto"/>
              </w:rPr>
              <w:t>5.3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SEGMENTO DE INVESTIMENTOS NO EXTERIOR</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_Toc20130600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16</w:t>
            </w:r>
            <w:r w:rsidR="009B5845" w:rsidRPr="00297E43">
              <w:rPr>
                <w:noProof/>
                <w:webHidden/>
                <w:color w:val="auto"/>
              </w:rPr>
              <w:fldChar w:fldCharType="end"/>
            </w:r>
          </w:hyperlink>
        </w:p>
        <w:p w14:paraId="37A2251C"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1" w:history="1">
            <w:r w:rsidR="009B5845" w:rsidRPr="00297E43">
              <w:rPr>
                <w:rStyle w:val="Hyperlink"/>
                <w:noProof/>
                <w:color w:val="auto"/>
              </w:rPr>
              <w:t>5.4</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LIMITES GERAIS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_Toc20130601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16</w:t>
            </w:r>
            <w:r w:rsidR="009B5845" w:rsidRPr="00297E43">
              <w:rPr>
                <w:noProof/>
                <w:webHidden/>
                <w:color w:val="auto"/>
              </w:rPr>
              <w:fldChar w:fldCharType="end"/>
            </w:r>
          </w:hyperlink>
        </w:p>
        <w:p w14:paraId="627671C5"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2" w:history="1">
            <w:r w:rsidR="009B5845" w:rsidRPr="00297E43">
              <w:rPr>
                <w:rStyle w:val="Hyperlink"/>
                <w:noProof/>
                <w:color w:val="auto"/>
              </w:rPr>
              <w:t>5.5</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ENQUADRAMENTO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_Toc20130602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17</w:t>
            </w:r>
            <w:r w:rsidR="009B5845" w:rsidRPr="00297E43">
              <w:rPr>
                <w:noProof/>
                <w:webHidden/>
                <w:color w:val="auto"/>
              </w:rPr>
              <w:fldChar w:fldCharType="end"/>
            </w:r>
          </w:hyperlink>
        </w:p>
        <w:p w14:paraId="74F78128"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3" w:history="1">
            <w:r w:rsidR="009B5845" w:rsidRPr="00297E43">
              <w:rPr>
                <w:rStyle w:val="Hyperlink"/>
                <w:noProof/>
                <w:color w:val="auto"/>
              </w:rPr>
              <w:t>5.6</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VEDAÇÕES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_Toc20130603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17</w:t>
            </w:r>
            <w:r w:rsidR="009B5845" w:rsidRPr="00297E43">
              <w:rPr>
                <w:noProof/>
                <w:webHidden/>
                <w:color w:val="auto"/>
              </w:rPr>
              <w:fldChar w:fldCharType="end"/>
            </w:r>
          </w:hyperlink>
        </w:p>
        <w:p w14:paraId="5622DFA1"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604" w:history="1">
            <w:r w:rsidR="009B5845" w:rsidRPr="00297E43">
              <w:rPr>
                <w:rStyle w:val="Hyperlink"/>
                <w:noProof/>
                <w:color w:val="auto"/>
              </w:rPr>
              <w:t>6</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META ATUARIAL</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_Toc20130604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18</w:t>
            </w:r>
            <w:r w:rsidR="009B5845" w:rsidRPr="00297E43">
              <w:rPr>
                <w:noProof/>
                <w:webHidden/>
                <w:color w:val="auto"/>
              </w:rPr>
              <w:fldChar w:fldCharType="end"/>
            </w:r>
          </w:hyperlink>
        </w:p>
        <w:p w14:paraId="12EA0652"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605" w:history="1">
            <w:r w:rsidR="009B5845" w:rsidRPr="00297E43">
              <w:rPr>
                <w:rStyle w:val="Hyperlink"/>
                <w:noProof/>
                <w:color w:val="auto"/>
              </w:rPr>
              <w:t>7</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ESTRUTURA DE GESTÃO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_Toc20130605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19</w:t>
            </w:r>
            <w:r w:rsidR="009B5845" w:rsidRPr="00297E43">
              <w:rPr>
                <w:noProof/>
                <w:webHidden/>
                <w:color w:val="auto"/>
              </w:rPr>
              <w:fldChar w:fldCharType="end"/>
            </w:r>
          </w:hyperlink>
        </w:p>
        <w:p w14:paraId="370141AB"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6" w:history="1">
            <w:r w:rsidR="009B5845" w:rsidRPr="00297E43">
              <w:rPr>
                <w:rStyle w:val="Hyperlink"/>
                <w:noProof/>
                <w:color w:val="auto"/>
              </w:rPr>
              <w:t>7.1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GESTÃO PRÓPRIA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_Toc20130606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19</w:t>
            </w:r>
            <w:r w:rsidR="009B5845" w:rsidRPr="00297E43">
              <w:rPr>
                <w:noProof/>
                <w:webHidden/>
                <w:color w:val="auto"/>
              </w:rPr>
              <w:fldChar w:fldCharType="end"/>
            </w:r>
          </w:hyperlink>
        </w:p>
        <w:p w14:paraId="46411AB5"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7" w:history="1">
            <w:r w:rsidR="009B5845" w:rsidRPr="00297E43">
              <w:rPr>
                <w:rStyle w:val="Hyperlink"/>
                <w:noProof/>
                <w:color w:val="auto"/>
              </w:rPr>
              <w:t>7.2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ÓRGÃOS DE EXECUÇÃO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_Toc20130607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19</w:t>
            </w:r>
            <w:r w:rsidR="009B5845" w:rsidRPr="00297E43">
              <w:rPr>
                <w:noProof/>
                <w:webHidden/>
                <w:color w:val="auto"/>
              </w:rPr>
              <w:fldChar w:fldCharType="end"/>
            </w:r>
          </w:hyperlink>
        </w:p>
        <w:p w14:paraId="4AAA6693"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608" w:history="1">
            <w:r w:rsidR="009B5845" w:rsidRPr="00297E43">
              <w:rPr>
                <w:rStyle w:val="Hyperlink"/>
                <w:noProof/>
                <w:color w:val="auto"/>
              </w:rPr>
              <w:t>8</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CONTROLE DE RISCO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_Toc20130608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20</w:t>
            </w:r>
            <w:r w:rsidR="009B5845" w:rsidRPr="00297E43">
              <w:rPr>
                <w:noProof/>
                <w:webHidden/>
                <w:color w:val="auto"/>
              </w:rPr>
              <w:fldChar w:fldCharType="end"/>
            </w:r>
          </w:hyperlink>
        </w:p>
        <w:p w14:paraId="062DE08F"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09" w:history="1">
            <w:r w:rsidR="009B5845" w:rsidRPr="00297E43">
              <w:rPr>
                <w:rStyle w:val="Hyperlink"/>
                <w:bCs/>
                <w:noProof/>
                <w:color w:val="auto"/>
              </w:rPr>
              <w:t>8.1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CONTROLE DO RISCO DE MERCADO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_Toc20130609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20</w:t>
            </w:r>
            <w:r w:rsidR="009B5845" w:rsidRPr="00297E43">
              <w:rPr>
                <w:noProof/>
                <w:webHidden/>
                <w:color w:val="auto"/>
              </w:rPr>
              <w:fldChar w:fldCharType="end"/>
            </w:r>
          </w:hyperlink>
        </w:p>
        <w:p w14:paraId="290C888B"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10" w:history="1">
            <w:r w:rsidR="009B5845" w:rsidRPr="00297E43">
              <w:rPr>
                <w:rStyle w:val="Hyperlink"/>
                <w:noProof/>
                <w:color w:val="auto"/>
              </w:rPr>
              <w:t>8.2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CONTROLE DO RISCO DE CRÉDITO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_Toc20130610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20</w:t>
            </w:r>
            <w:r w:rsidR="009B5845" w:rsidRPr="00297E43">
              <w:rPr>
                <w:noProof/>
                <w:webHidden/>
                <w:color w:val="auto"/>
              </w:rPr>
              <w:fldChar w:fldCharType="end"/>
            </w:r>
          </w:hyperlink>
        </w:p>
        <w:p w14:paraId="60DF17FB"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11" w:history="1">
            <w:r w:rsidR="009B5845" w:rsidRPr="00297E43">
              <w:rPr>
                <w:rStyle w:val="Hyperlink"/>
                <w:noProof/>
                <w:color w:val="auto"/>
              </w:rPr>
              <w:t>8.3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CONTROLE DO RISCO DE LIQUIDEZ</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_Toc20130611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21</w:t>
            </w:r>
            <w:r w:rsidR="009B5845" w:rsidRPr="00297E43">
              <w:rPr>
                <w:noProof/>
                <w:webHidden/>
                <w:color w:val="auto"/>
              </w:rPr>
              <w:fldChar w:fldCharType="end"/>
            </w:r>
          </w:hyperlink>
        </w:p>
        <w:p w14:paraId="69A7F011" w14:textId="77777777" w:rsidR="009B5845" w:rsidRPr="00297E43" w:rsidRDefault="00EF6A92">
          <w:pPr>
            <w:pStyle w:val="Sumrio1"/>
            <w:tabs>
              <w:tab w:val="left" w:pos="400"/>
              <w:tab w:val="right" w:leader="dot" w:pos="9061"/>
            </w:tabs>
            <w:rPr>
              <w:rFonts w:asciiTheme="minorHAnsi" w:eastAsiaTheme="minorEastAsia" w:hAnsiTheme="minorHAnsi"/>
              <w:noProof/>
              <w:color w:val="auto"/>
              <w:sz w:val="22"/>
              <w:lang w:eastAsia="pt-BR"/>
            </w:rPr>
          </w:pPr>
          <w:hyperlink w:anchor="_Toc20130612" w:history="1">
            <w:r w:rsidR="009B5845" w:rsidRPr="00297E43">
              <w:rPr>
                <w:rStyle w:val="Hyperlink"/>
                <w:noProof/>
                <w:color w:val="auto"/>
              </w:rPr>
              <w:t>9</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POLÍTICA DE TRANSPARÊNCIA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_Toc20130612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22</w:t>
            </w:r>
            <w:r w:rsidR="009B5845" w:rsidRPr="00297E43">
              <w:rPr>
                <w:noProof/>
                <w:webHidden/>
                <w:color w:val="auto"/>
              </w:rPr>
              <w:fldChar w:fldCharType="end"/>
            </w:r>
          </w:hyperlink>
        </w:p>
        <w:p w14:paraId="6AB1ADFD"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13" w:history="1">
            <w:r w:rsidR="009B5845" w:rsidRPr="00297E43">
              <w:rPr>
                <w:rStyle w:val="Hyperlink"/>
                <w:noProof/>
                <w:color w:val="auto"/>
              </w:rPr>
              <w:t>10</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CREDENCIAMENTO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_Toc20130613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23</w:t>
            </w:r>
            <w:r w:rsidR="009B5845" w:rsidRPr="00297E43">
              <w:rPr>
                <w:noProof/>
                <w:webHidden/>
                <w:color w:val="auto"/>
              </w:rPr>
              <w:fldChar w:fldCharType="end"/>
            </w:r>
          </w:hyperlink>
        </w:p>
        <w:p w14:paraId="3D6CBFBE"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14" w:history="1">
            <w:r w:rsidR="009B5845" w:rsidRPr="00297E43">
              <w:rPr>
                <w:rStyle w:val="Hyperlink"/>
                <w:noProof/>
                <w:color w:val="auto"/>
              </w:rPr>
              <w:t>10.1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PROCESSO DE SELEÇÃO E AVALIAÇÃO DE GESTORES/ADMINISTRADORES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_Toc20130614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23</w:t>
            </w:r>
            <w:r w:rsidR="009B5845" w:rsidRPr="00297E43">
              <w:rPr>
                <w:noProof/>
                <w:webHidden/>
                <w:color w:val="auto"/>
              </w:rPr>
              <w:fldChar w:fldCharType="end"/>
            </w:r>
          </w:hyperlink>
        </w:p>
        <w:p w14:paraId="1004A708"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15" w:history="1">
            <w:r w:rsidR="009B5845" w:rsidRPr="00297E43">
              <w:rPr>
                <w:rStyle w:val="Hyperlink"/>
                <w:noProof/>
                <w:color w:val="auto"/>
              </w:rPr>
              <w:t>11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PRECIFICAÇÃO DE ATIVOS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_Toc20130615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25</w:t>
            </w:r>
            <w:r w:rsidR="009B5845" w:rsidRPr="00297E43">
              <w:rPr>
                <w:noProof/>
                <w:webHidden/>
                <w:color w:val="auto"/>
              </w:rPr>
              <w:fldChar w:fldCharType="end"/>
            </w:r>
          </w:hyperlink>
        </w:p>
        <w:p w14:paraId="1D888A91"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16" w:history="1">
            <w:r w:rsidR="009B5845" w:rsidRPr="00297E43">
              <w:rPr>
                <w:rStyle w:val="Hyperlink"/>
                <w:noProof/>
                <w:color w:val="auto"/>
              </w:rPr>
              <w:t>11.1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METODOLOGIA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_Toc20130616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25</w:t>
            </w:r>
            <w:r w:rsidR="009B5845" w:rsidRPr="00297E43">
              <w:rPr>
                <w:noProof/>
                <w:webHidden/>
                <w:color w:val="auto"/>
              </w:rPr>
              <w:fldChar w:fldCharType="end"/>
            </w:r>
          </w:hyperlink>
        </w:p>
        <w:p w14:paraId="1A389A0B"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617" w:history="1">
            <w:r w:rsidR="009B5845" w:rsidRPr="00297E43">
              <w:rPr>
                <w:rStyle w:val="Hyperlink"/>
                <w:noProof/>
                <w:color w:val="auto"/>
              </w:rPr>
              <w:t>11.1.1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MARCAÇÕES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_Toc20130617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25</w:t>
            </w:r>
            <w:r w:rsidR="009B5845" w:rsidRPr="00297E43">
              <w:rPr>
                <w:noProof/>
                <w:webHidden/>
                <w:color w:val="auto"/>
              </w:rPr>
              <w:fldChar w:fldCharType="end"/>
            </w:r>
          </w:hyperlink>
        </w:p>
        <w:p w14:paraId="087A68C6"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18" w:history="1">
            <w:r w:rsidR="009B5845" w:rsidRPr="00297E43">
              <w:rPr>
                <w:rStyle w:val="Hyperlink"/>
                <w:noProof/>
                <w:color w:val="auto"/>
              </w:rPr>
              <w:t>11.2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CRITÉRIOS DE PRECIFICAÇÃO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_Toc20130618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25</w:t>
            </w:r>
            <w:r w:rsidR="009B5845" w:rsidRPr="00297E43">
              <w:rPr>
                <w:noProof/>
                <w:webHidden/>
                <w:color w:val="auto"/>
              </w:rPr>
              <w:fldChar w:fldCharType="end"/>
            </w:r>
          </w:hyperlink>
        </w:p>
        <w:p w14:paraId="5B122010"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619" w:history="1">
            <w:r w:rsidR="009B5845" w:rsidRPr="00297E43">
              <w:rPr>
                <w:rStyle w:val="Hyperlink"/>
                <w:noProof/>
                <w:color w:val="auto"/>
              </w:rPr>
              <w:t>11.2.1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TÍTULOS PÚBLICOS FEDERAIS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_Toc20130619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25</w:t>
            </w:r>
            <w:r w:rsidR="009B5845" w:rsidRPr="00297E43">
              <w:rPr>
                <w:noProof/>
                <w:webHidden/>
                <w:color w:val="auto"/>
              </w:rPr>
              <w:fldChar w:fldCharType="end"/>
            </w:r>
          </w:hyperlink>
        </w:p>
        <w:p w14:paraId="6164DF20"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620" w:history="1">
            <w:r w:rsidR="009B5845" w:rsidRPr="00297E43">
              <w:rPr>
                <w:rStyle w:val="Hyperlink"/>
                <w:noProof/>
                <w:color w:val="auto"/>
              </w:rPr>
              <w:t>11.2.2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FUNDOS DE INVESTIMENTOS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_Toc20130620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27</w:t>
            </w:r>
            <w:r w:rsidR="009B5845" w:rsidRPr="00297E43">
              <w:rPr>
                <w:noProof/>
                <w:webHidden/>
                <w:color w:val="auto"/>
              </w:rPr>
              <w:fldChar w:fldCharType="end"/>
            </w:r>
          </w:hyperlink>
        </w:p>
        <w:p w14:paraId="75D0BC3E"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621" w:history="1">
            <w:r w:rsidR="009B5845" w:rsidRPr="00297E43">
              <w:rPr>
                <w:rStyle w:val="Hyperlink"/>
                <w:noProof/>
                <w:color w:val="auto"/>
              </w:rPr>
              <w:t>11.2.3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TÍTULOS PRIVADOS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_Toc20130621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28</w:t>
            </w:r>
            <w:r w:rsidR="009B5845" w:rsidRPr="00297E43">
              <w:rPr>
                <w:noProof/>
                <w:webHidden/>
                <w:color w:val="auto"/>
              </w:rPr>
              <w:fldChar w:fldCharType="end"/>
            </w:r>
          </w:hyperlink>
        </w:p>
        <w:p w14:paraId="63D28CC2" w14:textId="77777777" w:rsidR="009B5845" w:rsidRPr="00297E43" w:rsidRDefault="00EF6A92">
          <w:pPr>
            <w:pStyle w:val="Sumrio3"/>
            <w:tabs>
              <w:tab w:val="left" w:pos="1100"/>
              <w:tab w:val="right" w:leader="dot" w:pos="9061"/>
            </w:tabs>
            <w:rPr>
              <w:rFonts w:asciiTheme="minorHAnsi" w:eastAsiaTheme="minorEastAsia" w:hAnsiTheme="minorHAnsi"/>
              <w:noProof/>
              <w:color w:val="auto"/>
              <w:sz w:val="22"/>
              <w:lang w:eastAsia="pt-BR"/>
            </w:rPr>
          </w:pPr>
          <w:hyperlink w:anchor="_Toc20130622" w:history="1">
            <w:r w:rsidR="009B5845" w:rsidRPr="00297E43">
              <w:rPr>
                <w:rStyle w:val="Hyperlink"/>
                <w:noProof/>
                <w:color w:val="auto"/>
              </w:rPr>
              <w:t>11.2.4</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POUPANÇA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_Toc20130622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28</w:t>
            </w:r>
            <w:r w:rsidR="009B5845" w:rsidRPr="00297E43">
              <w:rPr>
                <w:noProof/>
                <w:webHidden/>
                <w:color w:val="auto"/>
              </w:rPr>
              <w:fldChar w:fldCharType="end"/>
            </w:r>
          </w:hyperlink>
        </w:p>
        <w:p w14:paraId="1F6EE098"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23" w:history="1">
            <w:r w:rsidR="009B5845" w:rsidRPr="00297E43">
              <w:rPr>
                <w:rStyle w:val="Hyperlink"/>
                <w:noProof/>
                <w:color w:val="auto"/>
              </w:rPr>
              <w:t>11.3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FONTES PRIMÁRIAS DE INFORMAÇÕES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_Toc20130623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28</w:t>
            </w:r>
            <w:r w:rsidR="009B5845" w:rsidRPr="00297E43">
              <w:rPr>
                <w:noProof/>
                <w:webHidden/>
                <w:color w:val="auto"/>
              </w:rPr>
              <w:fldChar w:fldCharType="end"/>
            </w:r>
          </w:hyperlink>
        </w:p>
        <w:p w14:paraId="7BAAF331"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24" w:history="1">
            <w:r w:rsidR="009B5845" w:rsidRPr="00297E43">
              <w:rPr>
                <w:rStyle w:val="Hyperlink"/>
                <w:noProof/>
                <w:color w:val="auto"/>
              </w:rPr>
              <w:t>12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POLÍTICA DE ACOMPANHEMTNO E AVALIAÇÃO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_Toc20130624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29</w:t>
            </w:r>
            <w:r w:rsidR="009B5845" w:rsidRPr="00297E43">
              <w:rPr>
                <w:noProof/>
                <w:webHidden/>
                <w:color w:val="auto"/>
              </w:rPr>
              <w:fldChar w:fldCharType="end"/>
            </w:r>
          </w:hyperlink>
        </w:p>
        <w:p w14:paraId="6840A60B"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25" w:history="1">
            <w:r w:rsidR="009B5845" w:rsidRPr="00297E43">
              <w:rPr>
                <w:rStyle w:val="Hyperlink"/>
                <w:noProof/>
                <w:color w:val="auto"/>
              </w:rPr>
              <w:t>13</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PLANO DE CONTINGÊNCIA</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_Toc20130625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30</w:t>
            </w:r>
            <w:r w:rsidR="009B5845" w:rsidRPr="00297E43">
              <w:rPr>
                <w:noProof/>
                <w:webHidden/>
                <w:color w:val="auto"/>
              </w:rPr>
              <w:fldChar w:fldCharType="end"/>
            </w:r>
          </w:hyperlink>
        </w:p>
        <w:p w14:paraId="132EEEF5"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26" w:history="1">
            <w:r w:rsidR="009B5845" w:rsidRPr="00297E43">
              <w:rPr>
                <w:rStyle w:val="Hyperlink"/>
                <w:noProof/>
                <w:color w:val="auto"/>
              </w:rPr>
              <w:t>13.1</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EXPOSIÇÃO A RISCO</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_Toc20130626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30</w:t>
            </w:r>
            <w:r w:rsidR="009B5845" w:rsidRPr="00297E43">
              <w:rPr>
                <w:noProof/>
                <w:webHidden/>
                <w:color w:val="auto"/>
              </w:rPr>
              <w:fldChar w:fldCharType="end"/>
            </w:r>
          </w:hyperlink>
        </w:p>
        <w:p w14:paraId="0A91E341" w14:textId="77777777" w:rsidR="009B5845" w:rsidRPr="00297E43" w:rsidRDefault="00EF6A92">
          <w:pPr>
            <w:pStyle w:val="Sumrio2"/>
            <w:tabs>
              <w:tab w:val="left" w:pos="880"/>
              <w:tab w:val="right" w:leader="dot" w:pos="9061"/>
            </w:tabs>
            <w:rPr>
              <w:rFonts w:asciiTheme="minorHAnsi" w:eastAsiaTheme="minorEastAsia" w:hAnsiTheme="minorHAnsi"/>
              <w:noProof/>
              <w:color w:val="auto"/>
              <w:sz w:val="22"/>
              <w:lang w:eastAsia="pt-BR"/>
            </w:rPr>
          </w:pPr>
          <w:hyperlink w:anchor="_Toc20130627" w:history="1">
            <w:r w:rsidR="009B5845" w:rsidRPr="00297E43">
              <w:rPr>
                <w:rStyle w:val="Hyperlink"/>
                <w:noProof/>
                <w:color w:val="auto"/>
              </w:rPr>
              <w:t>13.2</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POTENCIAIS PERDAS DOS RECURSOS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_Toc20130627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30</w:t>
            </w:r>
            <w:r w:rsidR="009B5845" w:rsidRPr="00297E43">
              <w:rPr>
                <w:noProof/>
                <w:webHidden/>
                <w:color w:val="auto"/>
              </w:rPr>
              <w:fldChar w:fldCharType="end"/>
            </w:r>
          </w:hyperlink>
        </w:p>
        <w:p w14:paraId="19C7FB93"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28" w:history="1">
            <w:r w:rsidR="009B5845" w:rsidRPr="00297E43">
              <w:rPr>
                <w:rStyle w:val="Hyperlink"/>
                <w:noProof/>
                <w:color w:val="auto"/>
              </w:rPr>
              <w:t>14</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CONTROLES INTERNOS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_Toc20130628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31</w:t>
            </w:r>
            <w:r w:rsidR="009B5845" w:rsidRPr="00297E43">
              <w:rPr>
                <w:noProof/>
                <w:webHidden/>
                <w:color w:val="auto"/>
              </w:rPr>
              <w:fldChar w:fldCharType="end"/>
            </w:r>
          </w:hyperlink>
        </w:p>
        <w:p w14:paraId="280AEA68" w14:textId="77777777" w:rsidR="009B5845" w:rsidRPr="00297E43" w:rsidRDefault="00EF6A92">
          <w:pPr>
            <w:pStyle w:val="Sumrio1"/>
            <w:tabs>
              <w:tab w:val="left" w:pos="660"/>
              <w:tab w:val="right" w:leader="dot" w:pos="9061"/>
            </w:tabs>
            <w:rPr>
              <w:rFonts w:asciiTheme="minorHAnsi" w:eastAsiaTheme="minorEastAsia" w:hAnsiTheme="minorHAnsi"/>
              <w:noProof/>
              <w:color w:val="auto"/>
              <w:sz w:val="22"/>
              <w:lang w:eastAsia="pt-BR"/>
            </w:rPr>
          </w:pPr>
          <w:hyperlink w:anchor="_Toc20130629" w:history="1">
            <w:r w:rsidR="009B5845" w:rsidRPr="00297E43">
              <w:rPr>
                <w:rStyle w:val="Hyperlink"/>
                <w:noProof/>
                <w:color w:val="auto"/>
              </w:rPr>
              <w:t>15</w:t>
            </w:r>
            <w:r w:rsidR="009B5845" w:rsidRPr="00297E43">
              <w:rPr>
                <w:rFonts w:asciiTheme="minorHAnsi" w:eastAsiaTheme="minorEastAsia" w:hAnsiTheme="minorHAnsi"/>
                <w:noProof/>
                <w:color w:val="auto"/>
                <w:sz w:val="22"/>
                <w:lang w:eastAsia="pt-BR"/>
              </w:rPr>
              <w:tab/>
            </w:r>
            <w:r w:rsidR="009B5845" w:rsidRPr="00297E43">
              <w:rPr>
                <w:rStyle w:val="Hyperlink"/>
                <w:noProof/>
                <w:color w:val="auto"/>
              </w:rPr>
              <w:t>DISPOSIÇÕES GERAIS</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_Toc20130629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32</w:t>
            </w:r>
            <w:r w:rsidR="009B5845" w:rsidRPr="00297E43">
              <w:rPr>
                <w:noProof/>
                <w:webHidden/>
                <w:color w:val="auto"/>
              </w:rPr>
              <w:fldChar w:fldCharType="end"/>
            </w:r>
          </w:hyperlink>
        </w:p>
        <w:p w14:paraId="45CF4D81" w14:textId="77777777" w:rsidR="009B5845" w:rsidRPr="00297E43" w:rsidRDefault="00EF6A92">
          <w:pPr>
            <w:pStyle w:val="Sumrio1"/>
            <w:tabs>
              <w:tab w:val="right" w:leader="dot" w:pos="9061"/>
            </w:tabs>
            <w:rPr>
              <w:rFonts w:asciiTheme="minorHAnsi" w:eastAsiaTheme="minorEastAsia" w:hAnsiTheme="minorHAnsi"/>
              <w:noProof/>
              <w:color w:val="auto"/>
              <w:sz w:val="22"/>
              <w:lang w:eastAsia="pt-BR"/>
            </w:rPr>
          </w:pPr>
          <w:hyperlink w:anchor="_Toc20130630" w:history="1">
            <w:r w:rsidR="009B5845" w:rsidRPr="00297E43">
              <w:rPr>
                <w:rStyle w:val="Hyperlink"/>
                <w:noProof/>
                <w:color w:val="auto"/>
              </w:rPr>
              <w:t>DISCLAIMER</w:t>
            </w:r>
            <w:r w:rsidR="009B5845" w:rsidRPr="00297E43">
              <w:rPr>
                <w:noProof/>
                <w:webHidden/>
                <w:color w:val="auto"/>
              </w:rPr>
              <w:tab/>
            </w:r>
            <w:r w:rsidR="009B5845" w:rsidRPr="00297E43">
              <w:rPr>
                <w:noProof/>
                <w:webHidden/>
                <w:color w:val="auto"/>
              </w:rPr>
              <w:fldChar w:fldCharType="begin"/>
            </w:r>
            <w:r w:rsidR="009B5845" w:rsidRPr="00297E43">
              <w:rPr>
                <w:noProof/>
                <w:webHidden/>
                <w:color w:val="auto"/>
              </w:rPr>
              <w:instrText xml:space="preserve"> PAGEREF _Toc20130630 \h </w:instrText>
            </w:r>
            <w:r w:rsidR="009B5845" w:rsidRPr="00297E43">
              <w:rPr>
                <w:noProof/>
                <w:webHidden/>
                <w:color w:val="auto"/>
              </w:rPr>
            </w:r>
            <w:r w:rsidR="009B5845" w:rsidRPr="00297E43">
              <w:rPr>
                <w:noProof/>
                <w:webHidden/>
                <w:color w:val="auto"/>
              </w:rPr>
              <w:fldChar w:fldCharType="separate"/>
            </w:r>
            <w:r w:rsidR="00297E43">
              <w:rPr>
                <w:noProof/>
                <w:webHidden/>
                <w:color w:val="auto"/>
              </w:rPr>
              <w:t>33</w:t>
            </w:r>
            <w:r w:rsidR="009B5845" w:rsidRPr="00297E43">
              <w:rPr>
                <w:noProof/>
                <w:webHidden/>
                <w:color w:val="auto"/>
              </w:rPr>
              <w:fldChar w:fldCharType="end"/>
            </w:r>
          </w:hyperlink>
        </w:p>
        <w:p w14:paraId="59E1CF7D" w14:textId="77777777" w:rsidR="00CC3E23" w:rsidRPr="00297E43" w:rsidRDefault="00CC3E23" w:rsidP="005B5E5B">
          <w:pPr>
            <w:spacing w:beforeLines="120" w:before="288" w:after="0" w:line="240" w:lineRule="auto"/>
            <w:rPr>
              <w:bCs/>
              <w:color w:val="auto"/>
              <w:sz w:val="12"/>
              <w:szCs w:val="16"/>
            </w:rPr>
          </w:pPr>
          <w:r w:rsidRPr="00297E43">
            <w:rPr>
              <w:bCs/>
              <w:color w:val="auto"/>
              <w:sz w:val="8"/>
              <w:szCs w:val="16"/>
            </w:rPr>
            <w:fldChar w:fldCharType="end"/>
          </w:r>
          <w:r w:rsidR="002F635C" w:rsidRPr="00297E43">
            <w:rPr>
              <w:bCs/>
              <w:color w:val="auto"/>
              <w:sz w:val="12"/>
              <w:szCs w:val="16"/>
            </w:rPr>
            <w:br w:type="page"/>
          </w:r>
        </w:p>
      </w:sdtContent>
    </w:sdt>
    <w:p w14:paraId="46E1C46E" w14:textId="60AC3E63" w:rsidR="00CB1E8E" w:rsidRPr="00297E43" w:rsidRDefault="00CB1E8E" w:rsidP="00B6040D">
      <w:pPr>
        <w:pStyle w:val="Ttulo1"/>
        <w:numPr>
          <w:ilvl w:val="0"/>
          <w:numId w:val="0"/>
        </w:numPr>
        <w:rPr>
          <w:color w:val="auto"/>
        </w:rPr>
      </w:pPr>
      <w:bookmarkStart w:id="1" w:name="_Toc435202736"/>
      <w:bookmarkStart w:id="2" w:name="_Toc20130587"/>
      <w:r w:rsidRPr="00297E43">
        <w:rPr>
          <w:color w:val="auto"/>
        </w:rPr>
        <w:lastRenderedPageBreak/>
        <w:t>INTRODUÇÃO</w:t>
      </w:r>
      <w:bookmarkEnd w:id="1"/>
      <w:bookmarkEnd w:id="2"/>
    </w:p>
    <w:p w14:paraId="5E397784" w14:textId="5F5BC652" w:rsidR="006B0FB7" w:rsidRPr="00297E43" w:rsidRDefault="006B0FB7" w:rsidP="006B0FB7">
      <w:pPr>
        <w:spacing w:beforeLines="120" w:before="288" w:after="0" w:line="240" w:lineRule="auto"/>
        <w:rPr>
          <w:bCs/>
          <w:color w:val="auto"/>
          <w:szCs w:val="20"/>
        </w:rPr>
      </w:pPr>
      <w:r w:rsidRPr="00297E43">
        <w:rPr>
          <w:bCs/>
          <w:color w:val="auto"/>
          <w:szCs w:val="20"/>
        </w:rPr>
        <w:t>Atendendo à Resolução do Conselho Monetário Nacional - CMN nº 3.922, de 25 de novembro de 2010, alterada pela Resolução CMN n° 4.392, de 19 de dezembro de 2014</w:t>
      </w:r>
      <w:r w:rsidR="003815CD" w:rsidRPr="00297E43">
        <w:rPr>
          <w:bCs/>
          <w:color w:val="auto"/>
          <w:szCs w:val="20"/>
        </w:rPr>
        <w:t>,</w:t>
      </w:r>
      <w:r w:rsidR="00C22A8E" w:rsidRPr="00297E43">
        <w:rPr>
          <w:bCs/>
          <w:color w:val="auto"/>
          <w:szCs w:val="20"/>
        </w:rPr>
        <w:t xml:space="preserve"> pela Resolução CMN n° 4.604, de 19 de outubro de 2017</w:t>
      </w:r>
      <w:r w:rsidR="003815CD" w:rsidRPr="00297E43">
        <w:rPr>
          <w:bCs/>
          <w:color w:val="auto"/>
          <w:szCs w:val="20"/>
        </w:rPr>
        <w:t xml:space="preserve"> e posteriormente pela Resolução CMN n° 4.695, de 27 de novembro de 2018</w:t>
      </w:r>
      <w:r w:rsidR="00435A6C" w:rsidRPr="00297E43">
        <w:rPr>
          <w:bCs/>
          <w:color w:val="auto"/>
          <w:szCs w:val="20"/>
        </w:rPr>
        <w:t xml:space="preserve"> (</w:t>
      </w:r>
      <w:r w:rsidRPr="00297E43">
        <w:rPr>
          <w:bCs/>
          <w:color w:val="auto"/>
          <w:szCs w:val="20"/>
        </w:rPr>
        <w:t>doravante denominada simplesmente “Resolução CMN nº 3.922/2010”</w:t>
      </w:r>
      <w:r w:rsidR="00435A6C" w:rsidRPr="00297E43">
        <w:rPr>
          <w:bCs/>
          <w:color w:val="auto"/>
          <w:szCs w:val="20"/>
        </w:rPr>
        <w:t>)</w:t>
      </w:r>
      <w:r w:rsidRPr="00297E43">
        <w:rPr>
          <w:bCs/>
          <w:color w:val="auto"/>
          <w:szCs w:val="20"/>
        </w:rPr>
        <w:t xml:space="preserve">, o Comitê de Investimentos </w:t>
      </w:r>
      <w:r w:rsidR="00C22A8E" w:rsidRPr="00297E43">
        <w:rPr>
          <w:bCs/>
          <w:color w:val="auto"/>
          <w:szCs w:val="20"/>
        </w:rPr>
        <w:t>e a Diretoria Executiva</w:t>
      </w:r>
      <w:r w:rsidRPr="00297E43">
        <w:rPr>
          <w:bCs/>
          <w:color w:val="auto"/>
          <w:szCs w:val="20"/>
        </w:rPr>
        <w:t xml:space="preserve"> do </w:t>
      </w:r>
      <w:r w:rsidR="00656721" w:rsidRPr="00297E43">
        <w:rPr>
          <w:b/>
          <w:bCs/>
          <w:color w:val="auto"/>
          <w:szCs w:val="20"/>
        </w:rPr>
        <w:t>INSTITUTO DE PREVIDÊNCIA DOS SERVIDORES PÚBLICOS DO MUNICÍPIO DE BOM JESUS DOS PERDÕES</w:t>
      </w:r>
      <w:r w:rsidR="00314466" w:rsidRPr="00297E43">
        <w:rPr>
          <w:b/>
          <w:bCs/>
          <w:color w:val="auto"/>
          <w:szCs w:val="20"/>
        </w:rPr>
        <w:t xml:space="preserve"> – PREV BOM JESUS</w:t>
      </w:r>
      <w:r w:rsidRPr="00297E43">
        <w:rPr>
          <w:bCs/>
          <w:color w:val="auto"/>
          <w:szCs w:val="20"/>
        </w:rPr>
        <w:t xml:space="preserve">, apresenta sua Política de Investimentos para o exercício de </w:t>
      </w:r>
      <w:r w:rsidR="00CB3977" w:rsidRPr="00297E43">
        <w:rPr>
          <w:bCs/>
          <w:color w:val="auto"/>
          <w:szCs w:val="20"/>
        </w:rPr>
        <w:t>20</w:t>
      </w:r>
      <w:r w:rsidR="007667F7" w:rsidRPr="00297E43">
        <w:rPr>
          <w:bCs/>
          <w:color w:val="auto"/>
          <w:szCs w:val="20"/>
        </w:rPr>
        <w:t>20</w:t>
      </w:r>
      <w:r w:rsidRPr="00297E43">
        <w:rPr>
          <w:bCs/>
          <w:color w:val="auto"/>
          <w:szCs w:val="20"/>
        </w:rPr>
        <w:t xml:space="preserve">, </w:t>
      </w:r>
      <w:r w:rsidR="007667F7" w:rsidRPr="00297E43">
        <w:rPr>
          <w:bCs/>
          <w:color w:val="auto"/>
          <w:szCs w:val="20"/>
        </w:rPr>
        <w:t xml:space="preserve">devidamente analisada e </w:t>
      </w:r>
      <w:r w:rsidRPr="00297E43">
        <w:rPr>
          <w:bCs/>
          <w:color w:val="auto"/>
          <w:szCs w:val="20"/>
        </w:rPr>
        <w:t>aprovada por seu órgão superior competente.</w:t>
      </w:r>
    </w:p>
    <w:p w14:paraId="5DAAEEB3" w14:textId="77777777" w:rsidR="006B0FB7" w:rsidRPr="00297E43" w:rsidRDefault="006B0FB7" w:rsidP="006B0FB7">
      <w:pPr>
        <w:spacing w:beforeLines="120" w:before="288" w:after="0" w:line="240" w:lineRule="auto"/>
        <w:rPr>
          <w:bCs/>
          <w:color w:val="auto"/>
          <w:szCs w:val="20"/>
        </w:rPr>
      </w:pPr>
      <w:r w:rsidRPr="00297E43">
        <w:rPr>
          <w:bCs/>
          <w:color w:val="auto"/>
          <w:szCs w:val="20"/>
        </w:rPr>
        <w:t xml:space="preserve">A elaboração da Política de Investimentos representa uma formalidade legal que fundamenta e norteia todos os processos de tomada de decisões relativo aos investimentos </w:t>
      </w:r>
      <w:r w:rsidR="00C22A8E" w:rsidRPr="00297E43">
        <w:rPr>
          <w:bCs/>
          <w:color w:val="auto"/>
          <w:szCs w:val="20"/>
        </w:rPr>
        <w:t>do</w:t>
      </w:r>
      <w:r w:rsidRPr="00297E43">
        <w:rPr>
          <w:bCs/>
          <w:color w:val="auto"/>
          <w:szCs w:val="20"/>
        </w:rPr>
        <w:t xml:space="preserve"> Regimes Próprios de Previdência Social – </w:t>
      </w:r>
      <w:r w:rsidR="00C22A8E" w:rsidRPr="00297E43">
        <w:rPr>
          <w:bCs/>
          <w:color w:val="auto"/>
          <w:szCs w:val="20"/>
        </w:rPr>
        <w:t>RPPS</w:t>
      </w:r>
      <w:r w:rsidRPr="00297E43">
        <w:rPr>
          <w:bCs/>
          <w:color w:val="auto"/>
          <w:szCs w:val="20"/>
        </w:rPr>
        <w:t>, empregada como instrumento necessário para garantir a consistência da gestão dos recursos em busca do equilíbrio econômico-financeiro.</w:t>
      </w:r>
    </w:p>
    <w:p w14:paraId="01942A83" w14:textId="77777777" w:rsidR="002F635C" w:rsidRPr="00297E43" w:rsidRDefault="006B0FB7" w:rsidP="006B0FB7">
      <w:pPr>
        <w:spacing w:beforeLines="120" w:before="288" w:after="0" w:line="240" w:lineRule="auto"/>
        <w:rPr>
          <w:bCs/>
          <w:color w:val="auto"/>
          <w:szCs w:val="20"/>
        </w:rPr>
      </w:pPr>
      <w:r w:rsidRPr="00297E43">
        <w:rPr>
          <w:bCs/>
          <w:color w:val="auto"/>
          <w:szCs w:val="20"/>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14:paraId="2C2FA321" w14:textId="77777777" w:rsidR="002F635C" w:rsidRPr="00297E43" w:rsidRDefault="002F635C">
      <w:pPr>
        <w:rPr>
          <w:bCs/>
          <w:color w:val="auto"/>
          <w:szCs w:val="20"/>
        </w:rPr>
      </w:pPr>
      <w:r w:rsidRPr="00297E43">
        <w:rPr>
          <w:bCs/>
          <w:color w:val="auto"/>
          <w:szCs w:val="20"/>
        </w:rPr>
        <w:br w:type="page"/>
      </w:r>
    </w:p>
    <w:p w14:paraId="3A920407" w14:textId="77777777" w:rsidR="006B0FB7" w:rsidRPr="00297E43" w:rsidRDefault="006B0FB7" w:rsidP="006B0FB7">
      <w:pPr>
        <w:pStyle w:val="Ttulo1"/>
        <w:rPr>
          <w:color w:val="auto"/>
        </w:rPr>
      </w:pPr>
      <w:bookmarkStart w:id="3" w:name="_Toc435202737"/>
      <w:bookmarkStart w:id="4" w:name="_Toc490036539"/>
      <w:bookmarkStart w:id="5" w:name="_Toc20130588"/>
      <w:r w:rsidRPr="00297E43">
        <w:rPr>
          <w:color w:val="auto"/>
        </w:rPr>
        <w:lastRenderedPageBreak/>
        <w:t>OBJETIVO</w:t>
      </w:r>
      <w:bookmarkEnd w:id="3"/>
      <w:bookmarkEnd w:id="4"/>
      <w:bookmarkEnd w:id="5"/>
    </w:p>
    <w:p w14:paraId="0EB15A20" w14:textId="74ED4580" w:rsidR="006B0FB7" w:rsidRPr="00297E43" w:rsidRDefault="006B0FB7" w:rsidP="006B0FB7">
      <w:pPr>
        <w:spacing w:beforeLines="120" w:before="288" w:after="0" w:line="240" w:lineRule="auto"/>
        <w:rPr>
          <w:bCs/>
          <w:color w:val="auto"/>
          <w:szCs w:val="20"/>
        </w:rPr>
      </w:pPr>
      <w:r w:rsidRPr="00297E43">
        <w:rPr>
          <w:bCs/>
          <w:color w:val="auto"/>
          <w:szCs w:val="20"/>
        </w:rPr>
        <w:t xml:space="preserve">A Política de Investimentos do </w:t>
      </w:r>
      <w:r w:rsidR="00314466" w:rsidRPr="00297E43">
        <w:rPr>
          <w:b/>
          <w:bCs/>
          <w:color w:val="auto"/>
          <w:szCs w:val="20"/>
        </w:rPr>
        <w:t>INSTITUTO DE PREVIDÊNCIA DOS SERVIDORES PÚBLICOS DO MUNICÍPIO DE BOM JESUS DOS PERDÕES – PREV BOM JESUS</w:t>
      </w:r>
      <w:r w:rsidR="00656721" w:rsidRPr="00297E43">
        <w:rPr>
          <w:bCs/>
          <w:color w:val="auto"/>
          <w:szCs w:val="20"/>
        </w:rPr>
        <w:t xml:space="preserve">  </w:t>
      </w:r>
      <w:r w:rsidRPr="00297E43">
        <w:rPr>
          <w:bCs/>
          <w:color w:val="auto"/>
          <w:szCs w:val="20"/>
        </w:rPr>
        <w:t>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w:t>
      </w:r>
      <w:r w:rsidR="00C22A8E" w:rsidRPr="00297E43">
        <w:rPr>
          <w:bCs/>
          <w:color w:val="auto"/>
          <w:szCs w:val="20"/>
        </w:rPr>
        <w:t>, motivação, adequação à natureza de suas obrigações</w:t>
      </w:r>
      <w:r w:rsidRPr="00297E43">
        <w:rPr>
          <w:bCs/>
          <w:color w:val="auto"/>
          <w:szCs w:val="20"/>
        </w:rPr>
        <w:t xml:space="preserve"> e transparência.</w:t>
      </w:r>
    </w:p>
    <w:p w14:paraId="44DB23B0" w14:textId="48794E33" w:rsidR="006B0FB7" w:rsidRPr="00297E43" w:rsidRDefault="006B0FB7" w:rsidP="006B0FB7">
      <w:pPr>
        <w:spacing w:beforeLines="120" w:before="288" w:after="0" w:line="240" w:lineRule="auto"/>
        <w:rPr>
          <w:bCs/>
          <w:color w:val="auto"/>
          <w:szCs w:val="20"/>
        </w:rPr>
      </w:pPr>
      <w:r w:rsidRPr="00297E43">
        <w:rPr>
          <w:bCs/>
          <w:color w:val="auto"/>
          <w:szCs w:val="20"/>
        </w:rPr>
        <w:t xml:space="preserve">A Política de Investimentos tem ainda, como objetivo específico, zelar pela eficiência na condução das operações relativas às aplicações dos recursos, buscando alocar os investimentos em instituições que possuam as seguintes características: </w:t>
      </w:r>
      <w:r w:rsidR="00C76AD1" w:rsidRPr="00297E43">
        <w:rPr>
          <w:b/>
          <w:bCs/>
          <w:color w:val="auto"/>
          <w:szCs w:val="20"/>
        </w:rPr>
        <w:t xml:space="preserve">padrão ético de conduta, </w:t>
      </w:r>
      <w:r w:rsidRPr="00297E43">
        <w:rPr>
          <w:b/>
          <w:bCs/>
          <w:color w:val="auto"/>
          <w:szCs w:val="20"/>
        </w:rPr>
        <w:t xml:space="preserve">solidez patrimonial, </w:t>
      </w:r>
      <w:r w:rsidR="00C76AD1" w:rsidRPr="00297E43">
        <w:rPr>
          <w:b/>
          <w:bCs/>
          <w:color w:val="auto"/>
          <w:szCs w:val="20"/>
        </w:rPr>
        <w:t xml:space="preserve">histórico e </w:t>
      </w:r>
      <w:r w:rsidRPr="00297E43">
        <w:rPr>
          <w:b/>
          <w:bCs/>
          <w:color w:val="auto"/>
          <w:szCs w:val="20"/>
        </w:rPr>
        <w:t>experiência positiva</w:t>
      </w:r>
      <w:r w:rsidR="00C76AD1" w:rsidRPr="00297E43">
        <w:rPr>
          <w:b/>
          <w:bCs/>
          <w:color w:val="auto"/>
          <w:szCs w:val="20"/>
        </w:rPr>
        <w:t>, com reputação considerada ilibada</w:t>
      </w:r>
      <w:r w:rsidRPr="00297E43">
        <w:rPr>
          <w:b/>
          <w:bCs/>
          <w:color w:val="auto"/>
          <w:szCs w:val="20"/>
        </w:rPr>
        <w:t xml:space="preserve"> no exercício da atividade de administração e gestão de grandes volumes de recursos e em ativos com adequada relação risco X retorno</w:t>
      </w:r>
      <w:r w:rsidRPr="00297E43">
        <w:rPr>
          <w:bCs/>
          <w:color w:val="auto"/>
          <w:szCs w:val="20"/>
        </w:rPr>
        <w:t>.</w:t>
      </w:r>
    </w:p>
    <w:p w14:paraId="25F4FB45" w14:textId="529D0118" w:rsidR="006B0FB7" w:rsidRPr="00297E43" w:rsidRDefault="006B0FB7" w:rsidP="006B0FB7">
      <w:pPr>
        <w:spacing w:beforeLines="120" w:before="288" w:after="0" w:line="240" w:lineRule="auto"/>
        <w:rPr>
          <w:bCs/>
          <w:color w:val="auto"/>
          <w:szCs w:val="20"/>
        </w:rPr>
      </w:pPr>
      <w:r w:rsidRPr="00297E43">
        <w:rPr>
          <w:bCs/>
          <w:color w:val="auto"/>
          <w:szCs w:val="20"/>
        </w:rPr>
        <w:t xml:space="preserve">Para cumprimento do objetivo específico e considerando as perspectivas do cenário econômico, a </w:t>
      </w:r>
      <w:r w:rsidR="00E451EC" w:rsidRPr="00297E43">
        <w:rPr>
          <w:bCs/>
          <w:color w:val="auto"/>
          <w:szCs w:val="20"/>
        </w:rPr>
        <w:t>P</w:t>
      </w:r>
      <w:r w:rsidRPr="00297E43">
        <w:rPr>
          <w:bCs/>
          <w:color w:val="auto"/>
          <w:szCs w:val="20"/>
        </w:rPr>
        <w:t xml:space="preserve">olítica </w:t>
      </w:r>
      <w:r w:rsidR="005B4379" w:rsidRPr="00297E43">
        <w:rPr>
          <w:bCs/>
          <w:color w:val="auto"/>
          <w:szCs w:val="20"/>
        </w:rPr>
        <w:t xml:space="preserve">de </w:t>
      </w:r>
      <w:r w:rsidR="00E451EC" w:rsidRPr="00297E43">
        <w:rPr>
          <w:bCs/>
          <w:color w:val="auto"/>
          <w:szCs w:val="20"/>
        </w:rPr>
        <w:t>I</w:t>
      </w:r>
      <w:r w:rsidR="005B4379" w:rsidRPr="00297E43">
        <w:rPr>
          <w:bCs/>
          <w:color w:val="auto"/>
          <w:szCs w:val="20"/>
        </w:rPr>
        <w:t xml:space="preserve">nvestimentos </w:t>
      </w:r>
      <w:r w:rsidRPr="00297E43">
        <w:rPr>
          <w:bCs/>
          <w:color w:val="auto"/>
          <w:szCs w:val="20"/>
        </w:rPr>
        <w:t xml:space="preserve">estabelecerá </w:t>
      </w:r>
      <w:r w:rsidR="005B4379" w:rsidRPr="00297E43">
        <w:rPr>
          <w:bCs/>
          <w:color w:val="auto"/>
          <w:szCs w:val="20"/>
        </w:rPr>
        <w:t xml:space="preserve">o plano de contingência, os parâmetros, as metodologias, os critérios, </w:t>
      </w:r>
      <w:r w:rsidRPr="00297E43">
        <w:rPr>
          <w:bCs/>
          <w:color w:val="auto"/>
          <w:szCs w:val="20"/>
        </w:rPr>
        <w:t>a</w:t>
      </w:r>
      <w:r w:rsidR="005B4379" w:rsidRPr="00297E43">
        <w:rPr>
          <w:bCs/>
          <w:color w:val="auto"/>
          <w:szCs w:val="20"/>
        </w:rPr>
        <w:t>s</w:t>
      </w:r>
      <w:r w:rsidRPr="00297E43">
        <w:rPr>
          <w:bCs/>
          <w:color w:val="auto"/>
          <w:szCs w:val="20"/>
        </w:rPr>
        <w:t xml:space="preserve"> modalidade</w:t>
      </w:r>
      <w:r w:rsidR="005B4379" w:rsidRPr="00297E43">
        <w:rPr>
          <w:bCs/>
          <w:color w:val="auto"/>
          <w:szCs w:val="20"/>
        </w:rPr>
        <w:t>s</w:t>
      </w:r>
      <w:r w:rsidRPr="00297E43">
        <w:rPr>
          <w:bCs/>
          <w:color w:val="auto"/>
          <w:szCs w:val="20"/>
        </w:rPr>
        <w:t xml:space="preserve"> e os limites legais e operacionais, buscando a mais adequada alocação dos ativos, à vista do perfil do passivo no curto, médio e longo prazo, atendendo aos requisitos da Resolução CMN nº 3.922/2010.</w:t>
      </w:r>
    </w:p>
    <w:p w14:paraId="425841DC" w14:textId="2F50ABF0" w:rsidR="002F635C" w:rsidRPr="00297E43" w:rsidRDefault="007A1C3A" w:rsidP="007A1C3A">
      <w:pPr>
        <w:spacing w:beforeLines="120" w:before="288" w:after="0" w:line="240" w:lineRule="auto"/>
        <w:rPr>
          <w:bCs/>
          <w:color w:val="auto"/>
          <w:szCs w:val="20"/>
        </w:rPr>
      </w:pPr>
      <w:r w:rsidRPr="00297E43">
        <w:rPr>
          <w:bCs/>
          <w:color w:val="auto"/>
          <w:szCs w:val="20"/>
        </w:rPr>
        <w:t xml:space="preserve">Os responsáveis pela gestão do </w:t>
      </w:r>
      <w:r w:rsidR="00314466" w:rsidRPr="00297E43">
        <w:rPr>
          <w:b/>
          <w:bCs/>
          <w:color w:val="auto"/>
          <w:szCs w:val="20"/>
        </w:rPr>
        <w:t>INSTITUTO DE PREVIDÊNCIA DOS SERVIDORES PÚBLICOS DO MUNICÍPIO DE BOM JESUS DOS PERDÕES – PREV BOM JESUS</w:t>
      </w:r>
      <w:r w:rsidR="00B6040D" w:rsidRPr="00297E43">
        <w:rPr>
          <w:bCs/>
          <w:color w:val="auto"/>
          <w:szCs w:val="20"/>
        </w:rPr>
        <w:t xml:space="preserve"> </w:t>
      </w:r>
      <w:r w:rsidRPr="00297E43">
        <w:rPr>
          <w:bCs/>
          <w:color w:val="auto"/>
          <w:szCs w:val="20"/>
        </w:rPr>
        <w:t xml:space="preserve">têm como </w:t>
      </w:r>
      <w:r w:rsidR="00E451EC" w:rsidRPr="00297E43">
        <w:rPr>
          <w:bCs/>
          <w:color w:val="auto"/>
          <w:szCs w:val="20"/>
        </w:rPr>
        <w:t xml:space="preserve">uma das principais </w:t>
      </w:r>
      <w:r w:rsidRPr="00297E43">
        <w:rPr>
          <w:bCs/>
          <w:color w:val="auto"/>
          <w:szCs w:val="20"/>
        </w:rPr>
        <w:t>objetividade</w:t>
      </w:r>
      <w:r w:rsidR="00E451EC" w:rsidRPr="00297E43">
        <w:rPr>
          <w:bCs/>
          <w:color w:val="auto"/>
          <w:szCs w:val="20"/>
        </w:rPr>
        <w:t>s</w:t>
      </w:r>
      <w:r w:rsidRPr="00297E43">
        <w:rPr>
          <w:bCs/>
          <w:color w:val="auto"/>
          <w:szCs w:val="20"/>
        </w:rPr>
        <w:t xml:space="preserve"> a contínua busca pela ciência do conhecimento técnico, exercendo suas atividades com boa fé, legalidade e diligência; zelando p</w:t>
      </w:r>
      <w:r w:rsidR="003D189F" w:rsidRPr="00297E43">
        <w:rPr>
          <w:bCs/>
          <w:color w:val="auto"/>
          <w:szCs w:val="20"/>
        </w:rPr>
        <w:t>or</w:t>
      </w:r>
      <w:r w:rsidRPr="00297E43">
        <w:rPr>
          <w:bCs/>
          <w:color w:val="auto"/>
          <w:szCs w:val="20"/>
        </w:rPr>
        <w:t xml:space="preserve"> elevados padrões éticos, adotando as melhores práticas que visem garantir o cumprimento de suas obrigações.</w:t>
      </w:r>
    </w:p>
    <w:p w14:paraId="0076FD29" w14:textId="0342BB48" w:rsidR="005B4379" w:rsidRPr="00297E43" w:rsidRDefault="005B4379" w:rsidP="007A1C3A">
      <w:pPr>
        <w:spacing w:beforeLines="120" w:before="288" w:after="0" w:line="240" w:lineRule="auto"/>
        <w:rPr>
          <w:bCs/>
          <w:color w:val="auto"/>
          <w:szCs w:val="20"/>
        </w:rPr>
      </w:pPr>
      <w:r w:rsidRPr="00297E43">
        <w:rPr>
          <w:bCs/>
          <w:color w:val="auto"/>
          <w:szCs w:val="20"/>
        </w:rPr>
        <w:t xml:space="preserve">Entende-se por responsáveis pela gestão dos recursos do </w:t>
      </w:r>
      <w:r w:rsidR="00314466" w:rsidRPr="00297E43">
        <w:rPr>
          <w:b/>
          <w:bCs/>
          <w:color w:val="auto"/>
          <w:szCs w:val="20"/>
        </w:rPr>
        <w:t>INSTITUTO DE PREVIDÊNCIA DOS SERVIDORES PÚBLICOS DO MUNICÍPIO DE BOM JESUS DOS PERDÕES – PREV BOM JESUS</w:t>
      </w:r>
      <w:r w:rsidRPr="00297E43">
        <w:rPr>
          <w:bCs/>
          <w:color w:val="auto"/>
          <w:szCs w:val="20"/>
        </w:rPr>
        <w:t xml:space="preserve"> as pessoas que participam do processo de análise, de assessoramento e decisório sobre a aplicação dos recursos, bem como os participantes do mercado de título e valores mobiliários no que se refere à distribuição, intermediação e administração dos ativos.</w:t>
      </w:r>
    </w:p>
    <w:p w14:paraId="66062202" w14:textId="46C0BF42" w:rsidR="00E451EC" w:rsidRPr="00297E43" w:rsidRDefault="00E451EC" w:rsidP="007A1C3A">
      <w:pPr>
        <w:spacing w:beforeLines="120" w:before="288" w:after="0" w:line="240" w:lineRule="auto"/>
        <w:rPr>
          <w:bCs/>
          <w:color w:val="auto"/>
          <w:szCs w:val="20"/>
        </w:rPr>
      </w:pPr>
      <w:r w:rsidRPr="00297E43">
        <w:rPr>
          <w:bCs/>
          <w:color w:val="auto"/>
          <w:szCs w:val="20"/>
        </w:rPr>
        <w:t xml:space="preserve">A responsabilidade de cada agente envolvido no processo de análise, avaliação, gerenciamento, assessoramento e decisório sobre as aplicações dos recursos, foram definidos e estão disponíveis nos documentos de controle interno do </w:t>
      </w:r>
      <w:r w:rsidR="00314466" w:rsidRPr="00297E43">
        <w:rPr>
          <w:b/>
          <w:bCs/>
          <w:color w:val="auto"/>
          <w:szCs w:val="20"/>
        </w:rPr>
        <w:t>INSTITUTO DE PREVIDÊNCIA DOS SERVIDORES PÚBLICOS DO MUNICÍPIO DE BOM JESUS DOS PERDÕES – PREV BOM JESUS</w:t>
      </w:r>
      <w:r w:rsidRPr="00297E43">
        <w:rPr>
          <w:bCs/>
          <w:color w:val="auto"/>
          <w:szCs w:val="20"/>
        </w:rPr>
        <w:t>, instituídos como REGRAS, PROCEDIMENTOS E CONTROLES INTERNOS.</w:t>
      </w:r>
    </w:p>
    <w:p w14:paraId="4EE36CD0" w14:textId="77777777" w:rsidR="002F635C" w:rsidRPr="00297E43" w:rsidRDefault="002F635C">
      <w:pPr>
        <w:rPr>
          <w:bCs/>
          <w:color w:val="auto"/>
          <w:szCs w:val="20"/>
        </w:rPr>
      </w:pPr>
      <w:r w:rsidRPr="00297E43">
        <w:rPr>
          <w:bCs/>
          <w:color w:val="auto"/>
          <w:szCs w:val="20"/>
        </w:rPr>
        <w:br w:type="page"/>
      </w:r>
    </w:p>
    <w:p w14:paraId="049BE270" w14:textId="70BEC94F" w:rsidR="00B80178" w:rsidRPr="00297E43" w:rsidRDefault="00940C49" w:rsidP="00BF5125">
      <w:pPr>
        <w:pStyle w:val="Ttulo1"/>
        <w:rPr>
          <w:color w:val="auto"/>
        </w:rPr>
      </w:pPr>
      <w:bookmarkStart w:id="6" w:name="_Toc20130589"/>
      <w:r w:rsidRPr="00297E43">
        <w:rPr>
          <w:color w:val="auto"/>
        </w:rPr>
        <w:lastRenderedPageBreak/>
        <w:t xml:space="preserve">PERFIL DE </w:t>
      </w:r>
      <w:r w:rsidR="00740DD1" w:rsidRPr="00297E43">
        <w:rPr>
          <w:color w:val="auto"/>
        </w:rPr>
        <w:t>INVESTIDOR</w:t>
      </w:r>
      <w:bookmarkEnd w:id="6"/>
    </w:p>
    <w:p w14:paraId="1119AEE1" w14:textId="30BB623C" w:rsidR="00B80178" w:rsidRPr="00297E43" w:rsidRDefault="00940C49" w:rsidP="00BF5125">
      <w:pPr>
        <w:spacing w:before="240"/>
        <w:rPr>
          <w:color w:val="auto"/>
        </w:rPr>
      </w:pPr>
      <w:r w:rsidRPr="00297E43">
        <w:rPr>
          <w:color w:val="auto"/>
        </w:rPr>
        <w:t xml:space="preserve">Trata-se de análise de Perfil do </w:t>
      </w:r>
      <w:r w:rsidR="00314466" w:rsidRPr="00297E43">
        <w:rPr>
          <w:b/>
          <w:bCs/>
          <w:color w:val="auto"/>
          <w:szCs w:val="20"/>
        </w:rPr>
        <w:t>INSTITUTO DE PREVIDÊNCIA DOS SERVIDORES PÚBLICOS DO MUNICÍPIO DE BOM JESUS DOS PERDÕES – PREV BOM JESUS</w:t>
      </w:r>
      <w:r w:rsidRPr="00297E43">
        <w:rPr>
          <w:color w:val="auto"/>
        </w:rPr>
        <w:t>, no âmbito de classificação de investidor, considerando as variáveis:</w:t>
      </w:r>
    </w:p>
    <w:tbl>
      <w:tblPr>
        <w:tblStyle w:val="TabeladeLista1Clara-nfase31"/>
        <w:tblW w:w="0" w:type="auto"/>
        <w:tblLook w:val="04A0" w:firstRow="1" w:lastRow="0" w:firstColumn="1" w:lastColumn="0" w:noHBand="0" w:noVBand="1"/>
      </w:tblPr>
      <w:tblGrid>
        <w:gridCol w:w="4530"/>
        <w:gridCol w:w="4531"/>
      </w:tblGrid>
      <w:tr w:rsidR="00297E43" w:rsidRPr="00297E43" w14:paraId="7A531955" w14:textId="77777777" w:rsidTr="00BF5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2"/>
            <w:vAlign w:val="center"/>
          </w:tcPr>
          <w:p w14:paraId="6BF392C9" w14:textId="0E315AFF" w:rsidR="00940C49" w:rsidRPr="00297E43" w:rsidRDefault="00940C49" w:rsidP="00BF5125">
            <w:pPr>
              <w:spacing w:line="360" w:lineRule="auto"/>
              <w:jc w:val="center"/>
              <w:rPr>
                <w:color w:val="auto"/>
              </w:rPr>
            </w:pPr>
            <w:r w:rsidRPr="00297E43">
              <w:rPr>
                <w:color w:val="auto"/>
              </w:rPr>
              <w:t>PERFIL DE INVESTIDOR</w:t>
            </w:r>
          </w:p>
        </w:tc>
      </w:tr>
      <w:tr w:rsidR="00297E43" w:rsidRPr="00297E43" w14:paraId="50DCAA6E"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DFFE2EB" w14:textId="77777777" w:rsidR="00940C49" w:rsidRPr="00297E43" w:rsidRDefault="00940C49" w:rsidP="00940C49">
            <w:pPr>
              <w:spacing w:line="360" w:lineRule="auto"/>
              <w:jc w:val="left"/>
              <w:rPr>
                <w:color w:val="auto"/>
              </w:rPr>
            </w:pPr>
            <w:r w:rsidRPr="00297E43">
              <w:rPr>
                <w:color w:val="auto"/>
              </w:rPr>
              <w:t>Patrimônio Líquido sob gestão (R$)</w:t>
            </w:r>
          </w:p>
        </w:tc>
        <w:tc>
          <w:tcPr>
            <w:tcW w:w="4531" w:type="dxa"/>
            <w:vAlign w:val="center"/>
          </w:tcPr>
          <w:p w14:paraId="1CB1176E" w14:textId="77777777" w:rsidR="00940C49" w:rsidRPr="00297E43" w:rsidRDefault="00940C49" w:rsidP="00940C49">
            <w:pPr>
              <w:spacing w:line="360" w:lineRule="auto"/>
              <w:jc w:val="left"/>
              <w:cnfStyle w:val="000000100000" w:firstRow="0" w:lastRow="0" w:firstColumn="0" w:lastColumn="0" w:oddVBand="0" w:evenVBand="0" w:oddHBand="1" w:evenHBand="0" w:firstRowFirstColumn="0" w:firstRowLastColumn="0" w:lastRowFirstColumn="0" w:lastRowLastColumn="0"/>
              <w:rPr>
                <w:color w:val="auto"/>
              </w:rPr>
            </w:pPr>
          </w:p>
        </w:tc>
      </w:tr>
      <w:tr w:rsidR="00297E43" w:rsidRPr="00297E43" w14:paraId="113D365F" w14:textId="77777777" w:rsidTr="00940C49">
        <w:tc>
          <w:tcPr>
            <w:cnfStyle w:val="001000000000" w:firstRow="0" w:lastRow="0" w:firstColumn="1" w:lastColumn="0" w:oddVBand="0" w:evenVBand="0" w:oddHBand="0" w:evenHBand="0" w:firstRowFirstColumn="0" w:firstRowLastColumn="0" w:lastRowFirstColumn="0" w:lastRowLastColumn="0"/>
            <w:tcW w:w="4530" w:type="dxa"/>
            <w:vAlign w:val="center"/>
          </w:tcPr>
          <w:p w14:paraId="3C832523" w14:textId="77777777" w:rsidR="00940C49" w:rsidRPr="00297E43" w:rsidRDefault="00940C49" w:rsidP="00940C49">
            <w:pPr>
              <w:spacing w:line="360" w:lineRule="auto"/>
              <w:jc w:val="left"/>
              <w:rPr>
                <w:color w:val="auto"/>
              </w:rPr>
            </w:pPr>
            <w:r w:rsidRPr="00297E43">
              <w:rPr>
                <w:color w:val="auto"/>
              </w:rPr>
              <w:t>Certificado de Regularidade Previdenciário – CRP</w:t>
            </w:r>
          </w:p>
        </w:tc>
        <w:tc>
          <w:tcPr>
            <w:tcW w:w="4531" w:type="dxa"/>
            <w:vAlign w:val="center"/>
          </w:tcPr>
          <w:p w14:paraId="0E348E21" w14:textId="77777777" w:rsidR="00940C49" w:rsidRPr="00297E43" w:rsidRDefault="00940C49" w:rsidP="00940C49">
            <w:pPr>
              <w:spacing w:line="360" w:lineRule="auto"/>
              <w:jc w:val="left"/>
              <w:cnfStyle w:val="000000000000" w:firstRow="0" w:lastRow="0" w:firstColumn="0" w:lastColumn="0" w:oddVBand="0" w:evenVBand="0" w:oddHBand="0" w:evenHBand="0" w:firstRowFirstColumn="0" w:firstRowLastColumn="0" w:lastRowFirstColumn="0" w:lastRowLastColumn="0"/>
              <w:rPr>
                <w:color w:val="auto"/>
              </w:rPr>
            </w:pPr>
          </w:p>
        </w:tc>
      </w:tr>
      <w:tr w:rsidR="00297E43" w:rsidRPr="00297E43" w14:paraId="39A40F36"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745B9EB2" w14:textId="77777777" w:rsidR="00940C49" w:rsidRPr="00297E43" w:rsidRDefault="00940C49" w:rsidP="00940C49">
            <w:pPr>
              <w:spacing w:line="360" w:lineRule="auto"/>
              <w:jc w:val="left"/>
              <w:rPr>
                <w:color w:val="auto"/>
              </w:rPr>
            </w:pPr>
            <w:r w:rsidRPr="00297E43">
              <w:rPr>
                <w:color w:val="auto"/>
              </w:rPr>
              <w:t>Comitê de Investimentos</w:t>
            </w:r>
          </w:p>
        </w:tc>
        <w:tc>
          <w:tcPr>
            <w:tcW w:w="4531" w:type="dxa"/>
            <w:vAlign w:val="center"/>
          </w:tcPr>
          <w:p w14:paraId="79E3F7BD" w14:textId="77777777" w:rsidR="00940C49" w:rsidRPr="00297E43" w:rsidRDefault="00940C49" w:rsidP="00940C49">
            <w:pPr>
              <w:spacing w:line="360" w:lineRule="auto"/>
              <w:jc w:val="left"/>
              <w:cnfStyle w:val="000000100000" w:firstRow="0" w:lastRow="0" w:firstColumn="0" w:lastColumn="0" w:oddVBand="0" w:evenVBand="0" w:oddHBand="1" w:evenHBand="0" w:firstRowFirstColumn="0" w:firstRowLastColumn="0" w:lastRowFirstColumn="0" w:lastRowLastColumn="0"/>
              <w:rPr>
                <w:color w:val="auto"/>
              </w:rPr>
            </w:pPr>
          </w:p>
        </w:tc>
      </w:tr>
      <w:tr w:rsidR="00297E43" w:rsidRPr="00297E43" w14:paraId="14013676" w14:textId="77777777" w:rsidTr="00940C49">
        <w:tc>
          <w:tcPr>
            <w:cnfStyle w:val="001000000000" w:firstRow="0" w:lastRow="0" w:firstColumn="1" w:lastColumn="0" w:oddVBand="0" w:evenVBand="0" w:oddHBand="0" w:evenHBand="0" w:firstRowFirstColumn="0" w:firstRowLastColumn="0" w:lastRowFirstColumn="0" w:lastRowLastColumn="0"/>
            <w:tcW w:w="4530" w:type="dxa"/>
            <w:vAlign w:val="center"/>
          </w:tcPr>
          <w:p w14:paraId="65E866B4" w14:textId="77777777" w:rsidR="00940C49" w:rsidRPr="00297E43" w:rsidRDefault="00940C49" w:rsidP="00940C49">
            <w:pPr>
              <w:spacing w:line="360" w:lineRule="auto"/>
              <w:jc w:val="left"/>
              <w:rPr>
                <w:color w:val="auto"/>
              </w:rPr>
            </w:pPr>
            <w:r w:rsidRPr="00297E43">
              <w:rPr>
                <w:color w:val="auto"/>
              </w:rPr>
              <w:t>Adesão ao Pró-Gestão</w:t>
            </w:r>
          </w:p>
        </w:tc>
        <w:tc>
          <w:tcPr>
            <w:tcW w:w="4531" w:type="dxa"/>
            <w:vAlign w:val="center"/>
          </w:tcPr>
          <w:p w14:paraId="1FB8EA4C" w14:textId="77777777" w:rsidR="00940C49" w:rsidRPr="00297E43" w:rsidRDefault="00940C49" w:rsidP="00940C49">
            <w:pPr>
              <w:spacing w:line="360" w:lineRule="auto"/>
              <w:jc w:val="left"/>
              <w:cnfStyle w:val="000000000000" w:firstRow="0" w:lastRow="0" w:firstColumn="0" w:lastColumn="0" w:oddVBand="0" w:evenVBand="0" w:oddHBand="0" w:evenHBand="0" w:firstRowFirstColumn="0" w:firstRowLastColumn="0" w:lastRowFirstColumn="0" w:lastRowLastColumn="0"/>
              <w:rPr>
                <w:color w:val="auto"/>
              </w:rPr>
            </w:pPr>
          </w:p>
        </w:tc>
      </w:tr>
      <w:tr w:rsidR="00297E43" w:rsidRPr="00297E43" w14:paraId="4CDCD762"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79A3BAA9" w14:textId="275545BA" w:rsidR="00940C49" w:rsidRPr="00297E43" w:rsidRDefault="00940C49" w:rsidP="00940C49">
            <w:pPr>
              <w:spacing w:line="360" w:lineRule="auto"/>
              <w:jc w:val="left"/>
              <w:rPr>
                <w:color w:val="auto"/>
              </w:rPr>
            </w:pPr>
            <w:r w:rsidRPr="00297E43">
              <w:rPr>
                <w:color w:val="auto"/>
              </w:rPr>
              <w:t>Nível de Aderência ao Pró-Gestão</w:t>
            </w:r>
          </w:p>
        </w:tc>
        <w:tc>
          <w:tcPr>
            <w:tcW w:w="4531" w:type="dxa"/>
            <w:vAlign w:val="center"/>
          </w:tcPr>
          <w:p w14:paraId="193CCEF9" w14:textId="77777777" w:rsidR="00940C49" w:rsidRPr="00297E43" w:rsidRDefault="00940C49" w:rsidP="00940C49">
            <w:pPr>
              <w:spacing w:line="360" w:lineRule="auto"/>
              <w:jc w:val="left"/>
              <w:cnfStyle w:val="000000100000" w:firstRow="0" w:lastRow="0" w:firstColumn="0" w:lastColumn="0" w:oddVBand="0" w:evenVBand="0" w:oddHBand="1" w:evenHBand="0" w:firstRowFirstColumn="0" w:firstRowLastColumn="0" w:lastRowFirstColumn="0" w:lastRowLastColumn="0"/>
              <w:rPr>
                <w:color w:val="auto"/>
              </w:rPr>
            </w:pPr>
          </w:p>
        </w:tc>
      </w:tr>
      <w:tr w:rsidR="00297E43" w:rsidRPr="00297E43" w14:paraId="1BD6EBCA" w14:textId="77777777" w:rsidTr="00BF5125">
        <w:tc>
          <w:tcPr>
            <w:cnfStyle w:val="001000000000" w:firstRow="0" w:lastRow="0" w:firstColumn="1" w:lastColumn="0" w:oddVBand="0" w:evenVBand="0" w:oddHBand="0" w:evenHBand="0" w:firstRowFirstColumn="0" w:firstRowLastColumn="0" w:lastRowFirstColumn="0" w:lastRowLastColumn="0"/>
            <w:tcW w:w="4530" w:type="dxa"/>
            <w:vAlign w:val="center"/>
          </w:tcPr>
          <w:p w14:paraId="030ED0BE" w14:textId="77777777" w:rsidR="00940C49" w:rsidRPr="00297E43" w:rsidRDefault="00940C49" w:rsidP="00BF5125">
            <w:pPr>
              <w:spacing w:line="360" w:lineRule="auto"/>
              <w:jc w:val="left"/>
              <w:rPr>
                <w:color w:val="auto"/>
              </w:rPr>
            </w:pPr>
            <w:r w:rsidRPr="00297E43">
              <w:rPr>
                <w:color w:val="auto"/>
              </w:rPr>
              <w:t>Vencimento da Certificação</w:t>
            </w:r>
          </w:p>
        </w:tc>
        <w:tc>
          <w:tcPr>
            <w:tcW w:w="4531" w:type="dxa"/>
            <w:vAlign w:val="center"/>
          </w:tcPr>
          <w:p w14:paraId="6A6ABCB9" w14:textId="77777777" w:rsidR="00940C49" w:rsidRPr="00297E43" w:rsidRDefault="00940C49" w:rsidP="00BF5125">
            <w:pPr>
              <w:spacing w:line="360" w:lineRule="auto"/>
              <w:jc w:val="left"/>
              <w:cnfStyle w:val="000000000000" w:firstRow="0" w:lastRow="0" w:firstColumn="0" w:lastColumn="0" w:oddVBand="0" w:evenVBand="0" w:oddHBand="0" w:evenHBand="0" w:firstRowFirstColumn="0" w:firstRowLastColumn="0" w:lastRowFirstColumn="0" w:lastRowLastColumn="0"/>
              <w:rPr>
                <w:color w:val="auto"/>
              </w:rPr>
            </w:pPr>
          </w:p>
        </w:tc>
      </w:tr>
      <w:tr w:rsidR="00297E43" w:rsidRPr="00297E43" w14:paraId="57C8B883" w14:textId="77777777" w:rsidTr="00940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0D92FFF9" w14:textId="77777777" w:rsidR="00940C49" w:rsidRPr="00297E43" w:rsidRDefault="00940C49" w:rsidP="00940C49">
            <w:pPr>
              <w:spacing w:line="360" w:lineRule="auto"/>
              <w:jc w:val="left"/>
              <w:rPr>
                <w:color w:val="auto"/>
              </w:rPr>
            </w:pPr>
            <w:r w:rsidRPr="00297E43">
              <w:rPr>
                <w:color w:val="auto"/>
              </w:rPr>
              <w:t>Categoria de Investidor</w:t>
            </w:r>
          </w:p>
        </w:tc>
        <w:tc>
          <w:tcPr>
            <w:tcW w:w="4531" w:type="dxa"/>
            <w:vAlign w:val="center"/>
          </w:tcPr>
          <w:p w14:paraId="5B72A249" w14:textId="77777777" w:rsidR="00940C49" w:rsidRPr="00297E43" w:rsidRDefault="00940C49" w:rsidP="00940C49">
            <w:pPr>
              <w:spacing w:line="360" w:lineRule="auto"/>
              <w:jc w:val="left"/>
              <w:cnfStyle w:val="000000100000" w:firstRow="0" w:lastRow="0" w:firstColumn="0" w:lastColumn="0" w:oddVBand="0" w:evenVBand="0" w:oddHBand="1" w:evenHBand="0" w:firstRowFirstColumn="0" w:firstRowLastColumn="0" w:lastRowFirstColumn="0" w:lastRowLastColumn="0"/>
              <w:rPr>
                <w:color w:val="auto"/>
              </w:rPr>
            </w:pPr>
          </w:p>
        </w:tc>
      </w:tr>
    </w:tbl>
    <w:p w14:paraId="2655E149" w14:textId="17B6AF27" w:rsidR="00940C49" w:rsidRPr="00297E43" w:rsidRDefault="00940C49" w:rsidP="00BF5125">
      <w:pPr>
        <w:spacing w:before="240"/>
        <w:rPr>
          <w:color w:val="auto"/>
        </w:rPr>
      </w:pPr>
      <w:r w:rsidRPr="00297E43">
        <w:rPr>
          <w:color w:val="auto"/>
        </w:rPr>
        <w:t>Segundo disposto na Instrução CVM n° 554/2014 e Portaria MPS n° 300 de 03 de julho de 2015 e alterações, fica definido que os Regimes Próprios de Previdência Social classificados como Investidores Qualificados deverão apresentar cumulativamente:</w:t>
      </w:r>
    </w:p>
    <w:p w14:paraId="76254E76" w14:textId="04D0F550" w:rsidR="00940C49" w:rsidRPr="00297E43" w:rsidRDefault="00FB7BF2" w:rsidP="00BF5125">
      <w:pPr>
        <w:pStyle w:val="PargrafodaLista"/>
        <w:numPr>
          <w:ilvl w:val="0"/>
          <w:numId w:val="39"/>
        </w:numPr>
        <w:spacing w:before="240"/>
        <w:rPr>
          <w:color w:val="auto"/>
        </w:rPr>
      </w:pPr>
      <w:r w:rsidRPr="00297E43">
        <w:rPr>
          <w:color w:val="auto"/>
        </w:rPr>
        <w:t>Certificado de Regularidade Previdenciário – CRP vigente na data da realização de cada aplicação exclusiva para tal categoria de investidor;</w:t>
      </w:r>
    </w:p>
    <w:p w14:paraId="55A70E00" w14:textId="7E5BD2A1" w:rsidR="00FB7BF2" w:rsidRPr="00297E43" w:rsidRDefault="00FB7BF2" w:rsidP="00BF5125">
      <w:pPr>
        <w:pStyle w:val="PargrafodaLista"/>
        <w:numPr>
          <w:ilvl w:val="0"/>
          <w:numId w:val="39"/>
        </w:numPr>
        <w:spacing w:before="240"/>
        <w:rPr>
          <w:color w:val="auto"/>
        </w:rPr>
      </w:pPr>
      <w:r w:rsidRPr="00297E43">
        <w:rPr>
          <w:color w:val="auto"/>
        </w:rPr>
        <w:t>Possua recursos aplicados comprovados por Demonstrativo das Aplicações e Investimentos dos Recursos – DAIR o montante de R$ 10.000.000,00 (dez milhões de reais);</w:t>
      </w:r>
    </w:p>
    <w:p w14:paraId="5CFD5968" w14:textId="4CBD4DC2" w:rsidR="00FB7BF2" w:rsidRPr="00297E43" w:rsidRDefault="00FB7BF2" w:rsidP="00BF5125">
      <w:pPr>
        <w:pStyle w:val="PargrafodaLista"/>
        <w:numPr>
          <w:ilvl w:val="0"/>
          <w:numId w:val="39"/>
        </w:numPr>
        <w:spacing w:before="240"/>
        <w:rPr>
          <w:color w:val="auto"/>
        </w:rPr>
      </w:pPr>
      <w:r w:rsidRPr="00297E43">
        <w:rPr>
          <w:color w:val="auto"/>
        </w:rPr>
        <w:t>Comprove o efetivo funcionamento do Comitê de Investimentos e</w:t>
      </w:r>
    </w:p>
    <w:p w14:paraId="29D0DD0F" w14:textId="28B406EA" w:rsidR="00FB7BF2" w:rsidRPr="00297E43" w:rsidRDefault="00FB7BF2" w:rsidP="00BF5125">
      <w:pPr>
        <w:pStyle w:val="PargrafodaLista"/>
        <w:numPr>
          <w:ilvl w:val="0"/>
          <w:numId w:val="39"/>
        </w:numPr>
        <w:spacing w:before="240"/>
        <w:rPr>
          <w:color w:val="auto"/>
        </w:rPr>
      </w:pPr>
      <w:r w:rsidRPr="00297E43">
        <w:rPr>
          <w:color w:val="auto"/>
        </w:rPr>
        <w:t>Tenha aderido ao Programa de Certificação Institucional Pró-Gestão.</w:t>
      </w:r>
    </w:p>
    <w:p w14:paraId="063E19F5" w14:textId="5384FB30" w:rsidR="00FB7BF2" w:rsidRPr="00297E43" w:rsidRDefault="00FB7BF2" w:rsidP="00BF5125">
      <w:pPr>
        <w:spacing w:before="240"/>
        <w:rPr>
          <w:color w:val="auto"/>
        </w:rPr>
      </w:pPr>
      <w:r w:rsidRPr="00297E43">
        <w:rPr>
          <w:color w:val="auto"/>
        </w:rPr>
        <w:t>Na classificação como Investidor Profissional, fica o RPPS condicionado as mesmas condições cumulativas, sendo o item “d” como sendo: “tenha aderido ao Programa de Certificação Institucional Pró-Gestão e obtido a certificação institucional no 4° nível de aderência, ou seja, Nível IV de adesão.</w:t>
      </w:r>
    </w:p>
    <w:p w14:paraId="5DBFDAE8" w14:textId="260DA3CA" w:rsidR="00FD17BC" w:rsidRPr="00297E43" w:rsidRDefault="00FB7BF2" w:rsidP="00BF5125">
      <w:pPr>
        <w:spacing w:before="240"/>
        <w:rPr>
          <w:color w:val="auto"/>
        </w:rPr>
      </w:pPr>
      <w:r w:rsidRPr="00297E43">
        <w:rPr>
          <w:color w:val="auto"/>
        </w:rPr>
        <w:t xml:space="preserve">O </w:t>
      </w:r>
      <w:r w:rsidR="00314466" w:rsidRPr="00297E43">
        <w:rPr>
          <w:b/>
          <w:bCs/>
          <w:color w:val="auto"/>
          <w:szCs w:val="20"/>
        </w:rPr>
        <w:t>INSTITUTO DE PREVIDÊNCIA DOS SERVIDORES PÚBLICOS DO MUNICÍPIO DE BOM JESUS DOS PERDÕES – PREV BOM JESUS</w:t>
      </w:r>
      <w:r w:rsidRPr="00297E43">
        <w:rPr>
          <w:color w:val="auto"/>
        </w:rPr>
        <w:t xml:space="preserve">, no momento da elaboração e aprovação da Política de Investimentos para o exercício de 2020 está classificado como </w:t>
      </w:r>
      <w:r w:rsidR="00314466" w:rsidRPr="00297E43">
        <w:rPr>
          <w:b/>
          <w:color w:val="auto"/>
        </w:rPr>
        <w:t>Investidor</w:t>
      </w:r>
      <w:r w:rsidR="00B6040D" w:rsidRPr="00297E43">
        <w:rPr>
          <w:b/>
          <w:color w:val="auto"/>
        </w:rPr>
        <w:t xml:space="preserve"> Qualificado</w:t>
      </w:r>
      <w:r w:rsidR="008447A2" w:rsidRPr="00297E43">
        <w:rPr>
          <w:b/>
          <w:color w:val="auto"/>
        </w:rPr>
        <w:t>.</w:t>
      </w:r>
    </w:p>
    <w:p w14:paraId="18DB195C" w14:textId="28689B31" w:rsidR="00FD17BC" w:rsidRPr="00297E43" w:rsidRDefault="00FD17BC">
      <w:pPr>
        <w:jc w:val="left"/>
        <w:rPr>
          <w:color w:val="auto"/>
        </w:rPr>
      </w:pPr>
      <w:r w:rsidRPr="00297E43">
        <w:rPr>
          <w:color w:val="auto"/>
        </w:rPr>
        <w:br w:type="page"/>
      </w:r>
    </w:p>
    <w:p w14:paraId="05D243E1" w14:textId="03D6CB64" w:rsidR="002F426A" w:rsidRPr="00297E43" w:rsidRDefault="006B0FB7" w:rsidP="002F426A">
      <w:pPr>
        <w:pStyle w:val="Ttulo1"/>
        <w:spacing w:after="240"/>
        <w:rPr>
          <w:color w:val="auto"/>
        </w:rPr>
      </w:pPr>
      <w:bookmarkStart w:id="7" w:name="_Toc435202738"/>
      <w:bookmarkStart w:id="8" w:name="_Toc20130590"/>
      <w:bookmarkStart w:id="9" w:name="_Toc490036540"/>
      <w:r w:rsidRPr="00297E43">
        <w:rPr>
          <w:color w:val="auto"/>
        </w:rPr>
        <w:lastRenderedPageBreak/>
        <w:t>CENÁRIO ECONÔMICO</w:t>
      </w:r>
      <w:bookmarkStart w:id="10" w:name="_Toc435202739"/>
      <w:bookmarkEnd w:id="7"/>
      <w:bookmarkEnd w:id="8"/>
    </w:p>
    <w:p w14:paraId="6E82B9D2" w14:textId="7110F318" w:rsidR="006B0FB7" w:rsidRPr="00297E43" w:rsidRDefault="006B0FB7" w:rsidP="00314466">
      <w:pPr>
        <w:pStyle w:val="Ttulo2"/>
        <w:rPr>
          <w:color w:val="auto"/>
        </w:rPr>
      </w:pPr>
      <w:bookmarkStart w:id="11" w:name="_Toc490036541"/>
      <w:bookmarkStart w:id="12" w:name="_Toc20130591"/>
      <w:bookmarkEnd w:id="9"/>
      <w:bookmarkEnd w:id="10"/>
      <w:r w:rsidRPr="00297E43">
        <w:rPr>
          <w:color w:val="auto"/>
        </w:rPr>
        <w:t>INTERNACIONAL</w:t>
      </w:r>
      <w:bookmarkEnd w:id="11"/>
      <w:r w:rsidR="007A5748" w:rsidRPr="00297E43">
        <w:rPr>
          <w:color w:val="auto"/>
        </w:rPr>
        <w:t xml:space="preserve"> – </w:t>
      </w:r>
      <w:r w:rsidR="00535109" w:rsidRPr="00297E43">
        <w:rPr>
          <w:color w:val="auto"/>
        </w:rPr>
        <w:t>1° SEMESTRE DE</w:t>
      </w:r>
      <w:r w:rsidR="007A5748" w:rsidRPr="00297E43">
        <w:rPr>
          <w:color w:val="auto"/>
        </w:rPr>
        <w:t xml:space="preserve"> 201</w:t>
      </w:r>
      <w:r w:rsidR="005E5062" w:rsidRPr="00297E43">
        <w:rPr>
          <w:color w:val="auto"/>
        </w:rPr>
        <w:t>9</w:t>
      </w:r>
      <w:bookmarkEnd w:id="12"/>
    </w:p>
    <w:p w14:paraId="6C63C4BD" w14:textId="77777777" w:rsidR="00535109" w:rsidRPr="00297E43" w:rsidRDefault="00535109" w:rsidP="00535109">
      <w:pPr>
        <w:rPr>
          <w:b/>
          <w:color w:val="auto"/>
        </w:rPr>
      </w:pPr>
      <w:r w:rsidRPr="00297E43">
        <w:rPr>
          <w:b/>
          <w:color w:val="auto"/>
        </w:rPr>
        <w:t>EUROPA</w:t>
      </w:r>
    </w:p>
    <w:p w14:paraId="72C2B828" w14:textId="77777777" w:rsidR="00535109" w:rsidRPr="00297E43" w:rsidRDefault="00535109" w:rsidP="00535109">
      <w:pPr>
        <w:rPr>
          <w:color w:val="auto"/>
        </w:rPr>
      </w:pPr>
      <w:r w:rsidRPr="00297E43">
        <w:rPr>
          <w:color w:val="auto"/>
        </w:rPr>
        <w:t>De acordo com a agência europeia de estatísticas, Eurostat, a economia da zona do euro, composta por 19 países, evoluiu 0,4% no primeiro trimestre de 2019, em relação ao anterior, quando havia crescido 0,2% e 1,2% na comparação anual. A melhoria do resultado ocorreu por conta de uma aceleração do crescimento na Alemanha e da recuperação técnica da Itália. Entre as economias mais importantes do bloco econômico, a da Alemanha cresceu 0,4%, na base trimestral e 0,7% na anual, a da França 0,3% e 1,2%, a da Itália 0,1% e -0,1% e da Espanha 0,7% e 2,4%, respectivamente.</w:t>
      </w:r>
    </w:p>
    <w:p w14:paraId="6A90E292" w14:textId="01D555D0" w:rsidR="00535109" w:rsidRPr="00297E43" w:rsidRDefault="00535109" w:rsidP="00535109">
      <w:pPr>
        <w:rPr>
          <w:color w:val="auto"/>
        </w:rPr>
      </w:pPr>
      <w:r w:rsidRPr="00297E43">
        <w:rPr>
          <w:color w:val="auto"/>
        </w:rPr>
        <w:t>Já a economia do Reino Unido, membro da União Europeia – UE cresceu 0,5% no primeiro trimestre, em relação ao anterior e 1,8% na comparação anual. Quanto ao desemprego na zona do euro, a taxa ficou em 7,5% em maio. Na Alemanha ele foi de 3,1% nesse mês, nova mínima histórica e na Espanha 14,70% em março.</w:t>
      </w:r>
    </w:p>
    <w:p w14:paraId="3A8464A3" w14:textId="77777777" w:rsidR="00535109" w:rsidRPr="00297E43" w:rsidRDefault="00535109" w:rsidP="00535109">
      <w:pPr>
        <w:rPr>
          <w:color w:val="auto"/>
        </w:rPr>
      </w:pPr>
      <w:r w:rsidRPr="00297E43">
        <w:rPr>
          <w:color w:val="auto"/>
        </w:rPr>
        <w:t>Em junho, os preços ao consumidor tiveram alta de 1,3% na base anual, ainda bem distante da meta de 2% do Banco Central Europeu – BCE, que em sua reunião no início de junho manteve a taxa básica de juros em 0% e a de depósitos bancários em -0,4%. No comunicado afirmou que não deverá alterar as taxas até o final do primeiro semestre de 2020, na medida em que os riscos para o crescimento econômico da região aumentaram, também por conta das tensões comerciais provocadas pelos EUA.</w:t>
      </w:r>
    </w:p>
    <w:p w14:paraId="6E12D823" w14:textId="77777777" w:rsidR="00535109" w:rsidRPr="00297E43" w:rsidRDefault="00535109" w:rsidP="00535109">
      <w:pPr>
        <w:rPr>
          <w:b/>
          <w:color w:val="auto"/>
        </w:rPr>
      </w:pPr>
      <w:r w:rsidRPr="00297E43">
        <w:rPr>
          <w:b/>
          <w:color w:val="auto"/>
        </w:rPr>
        <w:t>EUA</w:t>
      </w:r>
    </w:p>
    <w:p w14:paraId="11FEFBE8" w14:textId="77777777" w:rsidR="00535109" w:rsidRPr="00297E43" w:rsidRDefault="00535109" w:rsidP="00535109">
      <w:pPr>
        <w:rPr>
          <w:color w:val="auto"/>
        </w:rPr>
      </w:pPr>
      <w:r w:rsidRPr="00297E43">
        <w:rPr>
          <w:color w:val="auto"/>
        </w:rPr>
        <w:t>Foi de 3,1% o crescimento anualizado da economia americana no primeiro trimestre de 2019. A despesa dos governos estaduais e municipais, o comércio exterior e o investimento em estoques foram os principais motores da aceleração ocorrida nos primeiros meses do ano. A despesa dos consumidores, que representa dois terços do PIB americano, cresceu a um ritmo anual de 0,50%, o menor aumento do último ano.</w:t>
      </w:r>
    </w:p>
    <w:p w14:paraId="46525A25" w14:textId="7E12B211" w:rsidR="00535109" w:rsidRPr="00297E43" w:rsidRDefault="00535109" w:rsidP="00535109">
      <w:pPr>
        <w:rPr>
          <w:color w:val="auto"/>
        </w:rPr>
      </w:pPr>
      <w:r w:rsidRPr="00297E43">
        <w:rPr>
          <w:color w:val="auto"/>
        </w:rPr>
        <w:t xml:space="preserve">O mercado de trabalho continuou robusto neste ano. Em junho, 224 mil novos postos de trabalho não rural foram criados, quando o esperado eram 160 mil. A taxa de desemprego, por sua vez, subiu de 3,6% em maio, para 3,7% em junho, com maior número de pessoas procurando emprego. Na comparação anual, o salário médio cresceu 3,1%. </w:t>
      </w:r>
    </w:p>
    <w:p w14:paraId="2B4447FD" w14:textId="7DCB1FE1" w:rsidR="00535109" w:rsidRPr="00297E43" w:rsidRDefault="00535109" w:rsidP="00535109">
      <w:pPr>
        <w:rPr>
          <w:color w:val="auto"/>
        </w:rPr>
      </w:pPr>
      <w:r w:rsidRPr="00297E43">
        <w:rPr>
          <w:color w:val="auto"/>
        </w:rPr>
        <w:t>Importante destacar que a produtividade do trabalhador norte-americano melhorou no primeiro trimestre deste ano, avançando 3,6%, o maior ritmo desde 2010. Ainda em junho, a inflação do consumidor subiu 0,1% na comparação com maio e 1,6% na base anual. O núcleo, que exclui os aumentos da energia e dos alimentos subiu 2,1%, já acima da meta do FED que é de 2%.</w:t>
      </w:r>
    </w:p>
    <w:p w14:paraId="758A7472" w14:textId="77777777" w:rsidR="00535109" w:rsidRPr="00297E43" w:rsidRDefault="00535109" w:rsidP="00535109">
      <w:pPr>
        <w:rPr>
          <w:color w:val="auto"/>
        </w:rPr>
      </w:pPr>
      <w:r w:rsidRPr="00297E43">
        <w:rPr>
          <w:color w:val="auto"/>
        </w:rPr>
        <w:t>Em sua reunião, em meados de junho, o comitê de política monetária do FED, o banco central americano, decidiu como era esperado manter a taxa básica de juros na banda entre 2,25% e 2,50% ao ano. Na ata, as autoridades do FED sinalizaram que cortes na taxa são possíveis neste ano, já que agirão de forma a sustentar a expansão econômica.</w:t>
      </w:r>
    </w:p>
    <w:p w14:paraId="5BA23AD0" w14:textId="77777777" w:rsidR="00535109" w:rsidRPr="00297E43" w:rsidRDefault="00535109" w:rsidP="00535109">
      <w:pPr>
        <w:rPr>
          <w:color w:val="auto"/>
        </w:rPr>
      </w:pPr>
      <w:r w:rsidRPr="00297E43">
        <w:rPr>
          <w:color w:val="auto"/>
        </w:rPr>
        <w:t>Quanto à “guerra” comercial iniciada pelo governo Trump, o aumento tarifário de 10% para 25% sobre US$ 200 bilhões em produtos importados da China, imposto em maio, gerou retaliação a vigorar a partir de junho e a ameaça da China de restringir a exportação de “terras raras”, um conjunto de 17 elementos químicos utilizados em equipamentos eletrônicos de alta tecnologia e equipamentos militares. Na última reunião do G-20, no final de junho, foi selada uma nova trégua para negociação. Por enquanto a China continua sendo o maior parceiro comercial dos EUA e numa “guerra comercial”, as duas nações perdem.</w:t>
      </w:r>
    </w:p>
    <w:p w14:paraId="0408EE0E" w14:textId="07D820AB" w:rsidR="00535109" w:rsidRPr="00297E43" w:rsidRDefault="00535109" w:rsidP="00535109">
      <w:pPr>
        <w:rPr>
          <w:b/>
          <w:color w:val="auto"/>
        </w:rPr>
      </w:pPr>
      <w:r w:rsidRPr="00297E43">
        <w:rPr>
          <w:b/>
          <w:color w:val="auto"/>
        </w:rPr>
        <w:t>ÁSIA</w:t>
      </w:r>
    </w:p>
    <w:p w14:paraId="75137089" w14:textId="2FC83A30" w:rsidR="00535109" w:rsidRPr="00297E43" w:rsidRDefault="00535109" w:rsidP="00535109">
      <w:pPr>
        <w:rPr>
          <w:color w:val="auto"/>
        </w:rPr>
      </w:pPr>
      <w:r w:rsidRPr="00297E43">
        <w:rPr>
          <w:color w:val="auto"/>
        </w:rPr>
        <w:t>A economia chinesa cresceu 6,2% na comparação anual, no segundo trimestre deste ano, dentro da margem estabelecida pelo governo, entre 6% e 6,5%. Mas foi o ritmo de crescimento mais lento em quase três décadas e ocorreu em plena “guerra” comercial com os EUA e em um contexto de enfraquecimento da economia global.</w:t>
      </w:r>
    </w:p>
    <w:p w14:paraId="05D12DEF" w14:textId="77777777" w:rsidR="00535109" w:rsidRPr="00297E43" w:rsidRDefault="00535109" w:rsidP="00535109">
      <w:pPr>
        <w:rPr>
          <w:color w:val="auto"/>
        </w:rPr>
      </w:pPr>
      <w:r w:rsidRPr="00297E43">
        <w:rPr>
          <w:color w:val="auto"/>
        </w:rPr>
        <w:t>Quanto ao Japão, o avanço anualizado do PIB no primeiro trimestre de 2019 foi de 2,2%, embora a economia ainda continue frágil. Mas foi mais forte que o esperado.</w:t>
      </w:r>
    </w:p>
    <w:p w14:paraId="7BCBA6A4" w14:textId="44DBEE89" w:rsidR="00535109" w:rsidRPr="00297E43" w:rsidRDefault="00535109" w:rsidP="00535109">
      <w:pPr>
        <w:rPr>
          <w:color w:val="auto"/>
        </w:rPr>
      </w:pPr>
      <w:r w:rsidRPr="00297E43">
        <w:rPr>
          <w:color w:val="auto"/>
        </w:rPr>
        <w:t>Já o PIB da Índia teve expansão anualizada de 5,8% no primeiro trimestre do ano, o que representa um retrocesso de quase um ponto em relação ao trimestre anterior e seu pior crescimento nos últimos cinco anos. O que fez o país ser ultrapassado pela China como a economia com maior taxa de crescimento no mundo.</w:t>
      </w:r>
    </w:p>
    <w:p w14:paraId="1DAA45D0" w14:textId="1FBE8DC0" w:rsidR="007A5748" w:rsidRPr="00297E43" w:rsidRDefault="002F426A" w:rsidP="005E5062">
      <w:pPr>
        <w:spacing w:beforeLines="120" w:before="288" w:after="240" w:line="240" w:lineRule="auto"/>
        <w:rPr>
          <w:b/>
          <w:bCs/>
          <w:color w:val="auto"/>
          <w:szCs w:val="20"/>
        </w:rPr>
      </w:pPr>
      <w:r w:rsidRPr="00297E43">
        <w:rPr>
          <w:b/>
          <w:bCs/>
          <w:color w:val="auto"/>
          <w:szCs w:val="20"/>
        </w:rPr>
        <w:t>MERCADO DE RENDA FIXA E RENDA VARIÁVEL</w:t>
      </w:r>
    </w:p>
    <w:p w14:paraId="42E27964" w14:textId="1362CF80" w:rsidR="00535109" w:rsidRPr="00297E43" w:rsidRDefault="00535109" w:rsidP="00535109">
      <w:pPr>
        <w:rPr>
          <w:color w:val="auto"/>
        </w:rPr>
      </w:pPr>
      <w:r w:rsidRPr="00297E43">
        <w:rPr>
          <w:color w:val="auto"/>
        </w:rPr>
        <w:lastRenderedPageBreak/>
        <w:t>Não teve grande impacto sobre o mercado de renda fixa, o desenrolar da “guerra” comercial entre EUA e China. Prevaleceram os fundamentos macroeconômicos de um contexto de inflação e taxas de juros muito baixas e crescimento econômico perdendo força. Os rendimentos dos títulos do governo norte-americano caíram para o seu menor nível desde novembro de 2016, ao passo que os emitidos por governos da zona do euro recuavam para as mínimas, em meio à expectativa que o novo presidente do BCE, que vai assumir vai ter uma postura pro mercado.</w:t>
      </w:r>
    </w:p>
    <w:p w14:paraId="0613CF13" w14:textId="270929B5" w:rsidR="00535109" w:rsidRPr="00297E43" w:rsidRDefault="00535109" w:rsidP="00535109">
      <w:pPr>
        <w:rPr>
          <w:color w:val="auto"/>
        </w:rPr>
      </w:pPr>
      <w:r w:rsidRPr="00297E43">
        <w:rPr>
          <w:color w:val="auto"/>
        </w:rPr>
        <w:t>Assim, o rendimento dos títulos de 10 anos emitidos pelo governo britânico (UK Gilt) passou de 0,99% a.a., no final do primeiro trimestre de 2019, para 0,83% a.a., no final do primeiro semestre do ano e o dos títulos do governo alemão (Bund) de menos 0,07% a.a., para menos 0,32% a.a. Já os títulos de 10 anos do governo americano (Treasury Bonds) tiveram o seu rendimento alterado, no mesmo período, de 2,41% a.a., para 2,14% a.a. e os de 30 anos de 2,81% a.a. para 2,55% ao ano.</w:t>
      </w:r>
    </w:p>
    <w:p w14:paraId="38D86C39" w14:textId="6A5CCA80" w:rsidR="00535109" w:rsidRPr="00297E43" w:rsidRDefault="00535109" w:rsidP="00535109">
      <w:pPr>
        <w:rPr>
          <w:color w:val="auto"/>
        </w:rPr>
      </w:pPr>
      <w:r w:rsidRPr="00297E43">
        <w:rPr>
          <w:color w:val="auto"/>
        </w:rPr>
        <w:t>Por conta das taxas de juros ainda muito baixas e podendo recuar mais, como no caso dos EUA, as bolsas tiveram muito bom desempenho no primeiro semestre. O índice Dax 30 (Alemanha) acumulou alta de 18,85% no semestre, enquanto o FTSE 100 (Grã-Bretanha) avançou 10,37% nesse período.</w:t>
      </w:r>
    </w:p>
    <w:p w14:paraId="664673B6" w14:textId="04D16D6A" w:rsidR="00535109" w:rsidRPr="00297E43" w:rsidRDefault="00535109" w:rsidP="00535109">
      <w:pPr>
        <w:rPr>
          <w:color w:val="auto"/>
        </w:rPr>
      </w:pPr>
      <w:r w:rsidRPr="00297E43">
        <w:rPr>
          <w:color w:val="auto"/>
        </w:rPr>
        <w:t>Nos EUA, as bolsas voltaram a atingir níveis recorde e índice S&amp;P 500 apresentou alta semestral de 17,35%. Na Ásia, o índice Shanghai SE Composite (China) subiu 19,44% no semestre, enquanto o índice Nikkei 225 (Japão), subiu 8,57% no mesmo período. No mercado de commodities, o petróleo, o principal produto, teve valorização de quase 24% no semestre, com a oferta mais restritiva.</w:t>
      </w:r>
    </w:p>
    <w:p w14:paraId="5F1C5174" w14:textId="57A752B6" w:rsidR="002F426A" w:rsidRPr="00297E43" w:rsidRDefault="002F426A" w:rsidP="00314466">
      <w:pPr>
        <w:pStyle w:val="Ttulo2"/>
        <w:rPr>
          <w:color w:val="auto"/>
        </w:rPr>
      </w:pPr>
      <w:bookmarkStart w:id="13" w:name="_Toc20130592"/>
      <w:r w:rsidRPr="00297E43">
        <w:rPr>
          <w:color w:val="auto"/>
        </w:rPr>
        <w:t>NACIONAL</w:t>
      </w:r>
      <w:r w:rsidR="00985117" w:rsidRPr="00297E43">
        <w:rPr>
          <w:color w:val="auto"/>
        </w:rPr>
        <w:t xml:space="preserve"> –</w:t>
      </w:r>
      <w:r w:rsidR="00F126A4" w:rsidRPr="00297E43">
        <w:rPr>
          <w:color w:val="auto"/>
        </w:rPr>
        <w:t xml:space="preserve"> </w:t>
      </w:r>
      <w:bookmarkEnd w:id="13"/>
      <w:r w:rsidR="00D168FD" w:rsidRPr="00297E43">
        <w:rPr>
          <w:color w:val="auto"/>
        </w:rPr>
        <w:t>1° SEMESTRE DE 2019</w:t>
      </w:r>
    </w:p>
    <w:p w14:paraId="463E11BC" w14:textId="77777777" w:rsidR="00D168FD" w:rsidRPr="00297E43" w:rsidRDefault="00D168FD" w:rsidP="00D168FD">
      <w:pPr>
        <w:rPr>
          <w:color w:val="auto"/>
        </w:rPr>
      </w:pPr>
      <w:r w:rsidRPr="00297E43">
        <w:rPr>
          <w:color w:val="auto"/>
        </w:rPr>
        <w:t xml:space="preserve">A economia brasileira registrou contração de 0,2% nos três primeiros meses de 2019, em relação ao último trimestre do ano anterior. Em relação ao ano anterior houve crescimento de 1,2%. Conforme o IBGE, em valores correntes o PIB somou R$ 1,7 trilhão no período. No mesmo nível do PIB do primeiro trimestre de 2012. O recuo teve no tombo do investimento e na desaceleração adicional do consumo das famílias, os maiores responsáveis. </w:t>
      </w:r>
    </w:p>
    <w:p w14:paraId="563B3442" w14:textId="77777777" w:rsidR="00D168FD" w:rsidRPr="00297E43" w:rsidRDefault="00D168FD" w:rsidP="00D168FD">
      <w:pPr>
        <w:rPr>
          <w:color w:val="auto"/>
        </w:rPr>
      </w:pPr>
      <w:r w:rsidRPr="00297E43">
        <w:rPr>
          <w:color w:val="auto"/>
        </w:rPr>
        <w:t xml:space="preserve">Pelo lado da oferta, a queda do setor agropecuário foi de 0,5%, no trimestre, o setor industrial recuou 0,7% e o setor de serviços cresceu 0,5%. Pelo lado da demanda, o consumo das famílias cresceu apenas 0,3%, os investimentos (Formação Bruta de Capital Fixo) caíram 1,7% e o consumo do governo avançou 0,4%. As exportações, por sua vez, registraram baixa de 1,9% </w:t>
      </w:r>
    </w:p>
    <w:p w14:paraId="0B4DBEB8" w14:textId="77777777" w:rsidR="00D168FD" w:rsidRPr="00297E43" w:rsidRDefault="00D168FD" w:rsidP="00D168FD">
      <w:pPr>
        <w:rPr>
          <w:b/>
          <w:color w:val="auto"/>
        </w:rPr>
      </w:pPr>
      <w:r w:rsidRPr="00297E43">
        <w:rPr>
          <w:b/>
          <w:color w:val="auto"/>
        </w:rPr>
        <w:t>EMPREGO E RENDA</w:t>
      </w:r>
    </w:p>
    <w:p w14:paraId="7988C1CE" w14:textId="6FADE31B" w:rsidR="00D168FD" w:rsidRPr="00297E43" w:rsidRDefault="00D168FD" w:rsidP="00D168FD">
      <w:pPr>
        <w:rPr>
          <w:color w:val="auto"/>
        </w:rPr>
      </w:pPr>
      <w:r w:rsidRPr="00297E43">
        <w:rPr>
          <w:color w:val="auto"/>
        </w:rPr>
        <w:t>De acordo com a Pesquisa Nacional por Amostra de Domicílios Contínua (Pnad), do IBGE, a taxa de desemprego no país foi de 12,3% no trimestre encerrado em maio, quando no ano anterior havia sido de 12,7%. O número de desempregados atingiu quase 13 milhões de pessoas.  O rendimento médio real (corrigido pela inflação) foi de R$ 2.289,00 no trimestre de março a maio.</w:t>
      </w:r>
    </w:p>
    <w:p w14:paraId="5C8DB90E" w14:textId="77777777" w:rsidR="00D168FD" w:rsidRPr="00297E43" w:rsidRDefault="00D168FD" w:rsidP="00D168FD">
      <w:pPr>
        <w:rPr>
          <w:b/>
          <w:color w:val="auto"/>
        </w:rPr>
      </w:pPr>
      <w:r w:rsidRPr="00297E43">
        <w:rPr>
          <w:b/>
          <w:color w:val="auto"/>
        </w:rPr>
        <w:t>SETOR PÚBLICO</w:t>
      </w:r>
    </w:p>
    <w:p w14:paraId="7C4E564A" w14:textId="77777777" w:rsidR="00D168FD" w:rsidRPr="00297E43" w:rsidRDefault="00D168FD" w:rsidP="00D168FD">
      <w:pPr>
        <w:rPr>
          <w:color w:val="auto"/>
        </w:rPr>
      </w:pPr>
      <w:r w:rsidRPr="00297E43">
        <w:rPr>
          <w:color w:val="auto"/>
        </w:rPr>
        <w:t>Nos primeiros cinco meses de 2019, o setor público consolidado registrou um déficit primário de R$ 17,5 bilhões, sendo que no mesmo período de 2018 havia tido um déficit de R$ 15,2 bilhões. As despesas com os juros nominais totalizaram em doze meses R$ 384,4 bilhões (5,52% do PIB). O resultado nominal, que inclui o resultado primário mais os juros nominais foi deficitário em R$ 484,7 bilhões em doze meses e a Dívida Bruta do Governo Geral (governo federal, INSS, governos estaduais e municipais) alcançou R$ 5,48 trilhões em maio, ou o equivalente a 78,7% do PIB.</w:t>
      </w:r>
    </w:p>
    <w:p w14:paraId="64516019" w14:textId="77777777" w:rsidR="00D168FD" w:rsidRPr="00297E43" w:rsidRDefault="00D168FD" w:rsidP="00D168FD">
      <w:pPr>
        <w:rPr>
          <w:color w:val="auto"/>
        </w:rPr>
      </w:pPr>
      <w:r w:rsidRPr="00297E43">
        <w:rPr>
          <w:color w:val="auto"/>
        </w:rPr>
        <w:t>No esforço de reequilíbrio das contas públicas, a reforma da Previdência foi aprovada em primeiro turno na Câmara dos Deputados e deverá gerar uma economia estimada ao redor de 900 bilhões, nos próximos dez anos. E para que o governo pudesse continuar cumprindo com seus encargos, o Congresso Nacional, em sessão conjunta autorizou em meados de junho operações de crédito orçamentário de R$ 248,9 bilhões, fora da regra de ouro.</w:t>
      </w:r>
    </w:p>
    <w:p w14:paraId="616026D0" w14:textId="77777777" w:rsidR="00D168FD" w:rsidRPr="00297E43" w:rsidRDefault="00D168FD" w:rsidP="00D168FD">
      <w:pPr>
        <w:rPr>
          <w:b/>
          <w:color w:val="auto"/>
        </w:rPr>
      </w:pPr>
      <w:r w:rsidRPr="00297E43">
        <w:rPr>
          <w:b/>
          <w:color w:val="auto"/>
        </w:rPr>
        <w:t>INFLAÇÃO</w:t>
      </w:r>
    </w:p>
    <w:p w14:paraId="52AAEB4E" w14:textId="64E87EA0" w:rsidR="00D168FD" w:rsidRPr="00297E43" w:rsidRDefault="00D168FD" w:rsidP="00D168FD">
      <w:pPr>
        <w:rPr>
          <w:color w:val="auto"/>
        </w:rPr>
      </w:pPr>
      <w:r w:rsidRPr="00297E43">
        <w:rPr>
          <w:color w:val="auto"/>
        </w:rPr>
        <w:t>A inflação medida através do Índice Nacional de Preços ao Consumidor Amplo (IPCA), calculado pelo IBGE e que abrange as famílias com renda mensal entre um e quarenta salários mínimos foi de apenas 0,01% em junho, por conta da queda dos preços dos alimentos dos combustíveis. Foi a menor alta de preços desde novembro 2018. No semestre o índice acumulou alta de 2,23 % e em doze meses de 3,37%.</w:t>
      </w:r>
    </w:p>
    <w:p w14:paraId="593B6BE7" w14:textId="0211FC5C" w:rsidR="00D168FD" w:rsidRPr="00297E43" w:rsidRDefault="00D168FD" w:rsidP="00D168FD">
      <w:pPr>
        <w:rPr>
          <w:color w:val="auto"/>
        </w:rPr>
      </w:pPr>
      <w:r w:rsidRPr="00297E43">
        <w:rPr>
          <w:color w:val="auto"/>
        </w:rPr>
        <w:t xml:space="preserve"> Já a inflação medida pelo Índice Nacional de Preços ao Consumidor (INPC), também calculado pelo IBGE, abrangendo famílias com renda mensal entre um e cinco salários mínimos, subiu também 0,01% em junho, ante 0,43% em maio. Assim, acumulou uma alta de 2,45% no ano e de 3,31% em doze meses.</w:t>
      </w:r>
    </w:p>
    <w:p w14:paraId="0E48C605" w14:textId="77777777" w:rsidR="00D168FD" w:rsidRPr="00297E43" w:rsidRDefault="00D168FD" w:rsidP="00D168FD">
      <w:pPr>
        <w:rPr>
          <w:color w:val="auto"/>
        </w:rPr>
      </w:pPr>
      <w:r w:rsidRPr="00297E43">
        <w:rPr>
          <w:color w:val="auto"/>
        </w:rPr>
        <w:lastRenderedPageBreak/>
        <w:t>É importante lembrarmos que o Conselho Monetário Nacional fixou em 3,5% a meta de inflação para 2022, com intervalo de variação de 1,5 pontos percentual para cima ou para baixo.</w:t>
      </w:r>
    </w:p>
    <w:p w14:paraId="19304DFD" w14:textId="77777777" w:rsidR="00D168FD" w:rsidRPr="00297E43" w:rsidRDefault="00D168FD" w:rsidP="00D168FD">
      <w:pPr>
        <w:rPr>
          <w:b/>
          <w:color w:val="auto"/>
        </w:rPr>
      </w:pPr>
      <w:r w:rsidRPr="00297E43">
        <w:rPr>
          <w:b/>
          <w:color w:val="auto"/>
        </w:rPr>
        <w:t xml:space="preserve">JUROS </w:t>
      </w:r>
    </w:p>
    <w:p w14:paraId="66A2B6D2" w14:textId="20D53596" w:rsidR="00D168FD" w:rsidRPr="00297E43" w:rsidRDefault="00D168FD" w:rsidP="00D168FD">
      <w:pPr>
        <w:rPr>
          <w:color w:val="auto"/>
        </w:rPr>
      </w:pPr>
      <w:r w:rsidRPr="00297E43">
        <w:rPr>
          <w:color w:val="auto"/>
        </w:rPr>
        <w:t>Na última reunião em meados de junho, o Comitê de Política Monetária do Banco Central - Copom manteve a taxa Selic em 6,5% ao ano, pela décima vez e de forma unanime. No comunicado pós-reunião, afirmou que o balanço de riscos para a inflação evoluiu de forma favorável, mas que, neste momento, o risco relacionado à agenda de reformas, principalmente a da Previdência, é preponderante.</w:t>
      </w:r>
    </w:p>
    <w:p w14:paraId="1254FED6" w14:textId="0B4C7407" w:rsidR="00D168FD" w:rsidRPr="00297E43" w:rsidRDefault="00D168FD" w:rsidP="00D168FD">
      <w:pPr>
        <w:rPr>
          <w:color w:val="auto"/>
        </w:rPr>
      </w:pPr>
      <w:r w:rsidRPr="00297E43">
        <w:rPr>
          <w:color w:val="auto"/>
        </w:rPr>
        <w:t>Na ata da reunião, o Copom reforçou que a inflação pode ficar em torno da meta em um cenário de taxa básica de juros mais baixa que os atuais 6,5% ao ano.</w:t>
      </w:r>
    </w:p>
    <w:p w14:paraId="3F3AE895" w14:textId="77777777" w:rsidR="00FC23D9" w:rsidRPr="00297E43" w:rsidRDefault="00FC23D9" w:rsidP="00FC23D9">
      <w:pPr>
        <w:rPr>
          <w:b/>
          <w:color w:val="auto"/>
        </w:rPr>
      </w:pPr>
      <w:r w:rsidRPr="00297E43">
        <w:rPr>
          <w:b/>
          <w:color w:val="auto"/>
        </w:rPr>
        <w:t xml:space="preserve">CÂMBIO E SETOR EXTERNO </w:t>
      </w:r>
    </w:p>
    <w:p w14:paraId="6B0FB2AD" w14:textId="3FF306BE" w:rsidR="00FC23D9" w:rsidRPr="00297E43" w:rsidRDefault="00FC23D9" w:rsidP="00FC23D9">
      <w:pPr>
        <w:rPr>
          <w:color w:val="auto"/>
        </w:rPr>
      </w:pPr>
      <w:r w:rsidRPr="00297E43">
        <w:rPr>
          <w:color w:val="auto"/>
        </w:rPr>
        <w:t xml:space="preserve">A taxa de câmbio dólar x real, denominada P-Tax 800, que é calculada pelo Banco Central do Brasil, fechou o primeiro semestre de 2019 cotada a R$ 3,8642, acumulando uma ligeira queda de 0,27% no ano e alta de 0,22% em doze meses. </w:t>
      </w:r>
    </w:p>
    <w:p w14:paraId="54468810" w14:textId="2E684022" w:rsidR="00FC23D9" w:rsidRPr="00297E43" w:rsidRDefault="00FC23D9" w:rsidP="00FC23D9">
      <w:pPr>
        <w:rPr>
          <w:color w:val="auto"/>
        </w:rPr>
      </w:pPr>
      <w:r w:rsidRPr="00297E43">
        <w:rPr>
          <w:color w:val="auto"/>
        </w:rPr>
        <w:t>Em relação ao Balanço de Pagamentos, as transações correntes acumularam, em doze meses, terminados em maio, um déficit de US$ 13,9 bilhões, ou o equivalente a 0,75% do PIB. Os investimentos diretos no país (IED) totalizaram US$ 96,6 bilhões nos últimos doze meses, equivalentes a 5,19% do PIB. Já as reservas internacionais, ao final de maio, pelo conceito de liquidez eram de US$ 386,2.</w:t>
      </w:r>
    </w:p>
    <w:p w14:paraId="30DEB956" w14:textId="77777777" w:rsidR="00FC23D9" w:rsidRPr="00297E43" w:rsidRDefault="00FC23D9" w:rsidP="00FC23D9">
      <w:pPr>
        <w:rPr>
          <w:color w:val="auto"/>
        </w:rPr>
      </w:pPr>
      <w:r w:rsidRPr="00297E43">
        <w:rPr>
          <w:color w:val="auto"/>
        </w:rPr>
        <w:t>Quanto à Balança Comercial, o superávit no primeiro semestre de 2019 foi de US$ 27,13 bilhões, 9,6% menor do que o registrado no mesmo período de 2018.</w:t>
      </w:r>
    </w:p>
    <w:p w14:paraId="16FACC33" w14:textId="17EF1832" w:rsidR="00FC23D9" w:rsidRPr="00297E43" w:rsidRDefault="00FC23D9" w:rsidP="00FC23D9">
      <w:pPr>
        <w:rPr>
          <w:color w:val="auto"/>
        </w:rPr>
      </w:pPr>
      <w:r w:rsidRPr="00297E43">
        <w:rPr>
          <w:color w:val="auto"/>
        </w:rPr>
        <w:t>Merece destaque no setor externo o acordo comercial celebrado entre o Mercosul e a União Europeia, que deverá propiciar às exportações do país um ganho de US$ 100 bilhões até 2035. O governo espera que o Congresso brasileiro seja um dos primeiros a aprovar o acordo.</w:t>
      </w:r>
    </w:p>
    <w:p w14:paraId="0B7D134A" w14:textId="77777777" w:rsidR="00FC23D9" w:rsidRPr="00297E43" w:rsidRDefault="00FC23D9" w:rsidP="00FC23D9">
      <w:pPr>
        <w:spacing w:beforeLines="120" w:before="288" w:after="240" w:line="240" w:lineRule="auto"/>
        <w:rPr>
          <w:b/>
          <w:bCs/>
          <w:color w:val="auto"/>
          <w:szCs w:val="20"/>
        </w:rPr>
      </w:pPr>
      <w:r w:rsidRPr="00297E43">
        <w:rPr>
          <w:b/>
          <w:bCs/>
          <w:color w:val="auto"/>
          <w:szCs w:val="20"/>
        </w:rPr>
        <w:t>MERCADO DE RENDA FIXA E RENDA VARIÁVEL</w:t>
      </w:r>
    </w:p>
    <w:p w14:paraId="26CD3658" w14:textId="514D3904" w:rsidR="00FC23D9" w:rsidRPr="00297E43" w:rsidRDefault="00FC23D9" w:rsidP="00FC23D9">
      <w:pPr>
        <w:rPr>
          <w:color w:val="auto"/>
        </w:rPr>
      </w:pPr>
      <w:r w:rsidRPr="00297E43">
        <w:rPr>
          <w:color w:val="auto"/>
        </w:rPr>
        <w:t>Embora a atividade econômica ainda fraca e a inflação muito baixa tenham desempenhado um papel decisivo em manter baixas as taxas de juros no mercado brasileiro, a queda acentuada no prêmio de risco no longo prazo sinalizou uma mudança estrutural na curva de rendimentos. Já a taxa de juros real, descontada a inflação caiu para o patamar de 2%, o menor desde março de 2013.</w:t>
      </w:r>
    </w:p>
    <w:p w14:paraId="29AA971A" w14:textId="77777777" w:rsidR="00FC23D9" w:rsidRPr="00297E43" w:rsidRDefault="00FC23D9" w:rsidP="00FC23D9">
      <w:pPr>
        <w:rPr>
          <w:color w:val="auto"/>
        </w:rPr>
      </w:pPr>
      <w:r w:rsidRPr="00297E43">
        <w:rPr>
          <w:color w:val="auto"/>
        </w:rPr>
        <w:t xml:space="preserve">Assim, o melhor desempenho entre os indicadores referenciais dos fundos de renda fixa foi o do IDkA 20 (IPCA), que acumulou alta de 32,70% no semestre, seguido do IMA-B 5+, com alta de 21,12% e do IMA-B Total com alta de 15,21%. A meta atuarial baseada no IPCA + 6%a.a acumulou alta de 5,18% e a com base no INPC + 6% a.a. alta de 5,41% no mesmo período. </w:t>
      </w:r>
    </w:p>
    <w:p w14:paraId="01390F9E" w14:textId="10737EB7" w:rsidR="00FC23D9" w:rsidRPr="00297E43" w:rsidRDefault="00FC23D9" w:rsidP="00FC23D9">
      <w:pPr>
        <w:rPr>
          <w:color w:val="auto"/>
        </w:rPr>
      </w:pPr>
      <w:r w:rsidRPr="00297E43">
        <w:rPr>
          <w:color w:val="auto"/>
        </w:rPr>
        <w:t>Nas tabelas abaixo, podemos constatar o desempenho dos principais indicadores de renda fixa que referenciam os fundos de investimento disponíveis para os RPPS.</w:t>
      </w:r>
    </w:p>
    <w:p w14:paraId="4808EB85" w14:textId="77777777" w:rsidR="00FC23D9" w:rsidRPr="00297E43" w:rsidRDefault="00FC23D9" w:rsidP="00FC23D9">
      <w:pPr>
        <w:rPr>
          <w:color w:val="auto"/>
        </w:rPr>
      </w:pPr>
      <w:r w:rsidRPr="00297E43">
        <w:rPr>
          <w:color w:val="auto"/>
        </w:rPr>
        <w:t>Para a bolsa brasileira, a alta no primeiro semestre foi de 14,88%, o melhor desempenho desde 2016 e de 38,76% em doze meses. No mês de junho o índice Bovespa, que encerrou o semestre aos 100.967 pontos, bateu o recorde histórico duas vezes.</w:t>
      </w:r>
    </w:p>
    <w:p w14:paraId="1A913089" w14:textId="19401626" w:rsidR="00FC23D9" w:rsidRPr="00297E43" w:rsidRDefault="00FC23D9" w:rsidP="00FC23D9">
      <w:pPr>
        <w:rPr>
          <w:color w:val="auto"/>
        </w:rPr>
      </w:pPr>
      <w:r w:rsidRPr="00297E43">
        <w:rPr>
          <w:color w:val="auto"/>
        </w:rPr>
        <w:t>Assim como para a renda fixa, os indicadores macroeconômicos favoráveis e o andamento das reformas deram o gás necessário para o mercado de ações.</w:t>
      </w:r>
    </w:p>
    <w:p w14:paraId="75C7990D" w14:textId="77777777" w:rsidR="004C20AC" w:rsidRPr="00297E43" w:rsidRDefault="006B0FB7" w:rsidP="00314466">
      <w:pPr>
        <w:pStyle w:val="Ttulo2"/>
        <w:rPr>
          <w:color w:val="auto"/>
        </w:rPr>
      </w:pPr>
      <w:bookmarkStart w:id="14" w:name="_Toc496794722"/>
      <w:bookmarkStart w:id="15" w:name="_Toc496794723"/>
      <w:bookmarkStart w:id="16" w:name="_Toc496794724"/>
      <w:bookmarkStart w:id="17" w:name="_Toc496794725"/>
      <w:bookmarkStart w:id="18" w:name="_Toc496794726"/>
      <w:bookmarkStart w:id="19" w:name="_Toc496794727"/>
      <w:bookmarkStart w:id="20" w:name="_Toc490036542"/>
      <w:bookmarkStart w:id="21" w:name="_Toc20130593"/>
      <w:bookmarkEnd w:id="14"/>
      <w:bookmarkEnd w:id="15"/>
      <w:bookmarkEnd w:id="16"/>
      <w:bookmarkEnd w:id="17"/>
      <w:bookmarkEnd w:id="18"/>
      <w:bookmarkEnd w:id="19"/>
      <w:r w:rsidRPr="00297E43">
        <w:rPr>
          <w:color w:val="auto"/>
        </w:rPr>
        <w:t>PERSPECTIVAS</w:t>
      </w:r>
      <w:bookmarkEnd w:id="20"/>
      <w:bookmarkEnd w:id="21"/>
    </w:p>
    <w:p w14:paraId="054780D0" w14:textId="0804528B" w:rsidR="00BA3136" w:rsidRPr="00297E43" w:rsidRDefault="00BA3136" w:rsidP="007D7FE1">
      <w:pPr>
        <w:pStyle w:val="Ttulo3"/>
        <w:spacing w:after="240"/>
        <w:rPr>
          <w:color w:val="auto"/>
        </w:rPr>
      </w:pPr>
      <w:bookmarkStart w:id="22" w:name="_Toc20130594"/>
      <w:r w:rsidRPr="00297E43">
        <w:rPr>
          <w:color w:val="auto"/>
        </w:rPr>
        <w:t>INTERNACIONAL</w:t>
      </w:r>
      <w:r w:rsidR="00985117" w:rsidRPr="00297E43">
        <w:rPr>
          <w:color w:val="auto"/>
        </w:rPr>
        <w:t xml:space="preserve"> –</w:t>
      </w:r>
      <w:r w:rsidR="008F5303" w:rsidRPr="00297E43">
        <w:rPr>
          <w:color w:val="auto"/>
        </w:rPr>
        <w:t xml:space="preserve"> </w:t>
      </w:r>
      <w:bookmarkEnd w:id="22"/>
      <w:r w:rsidR="00940322" w:rsidRPr="00297E43">
        <w:rPr>
          <w:color w:val="auto"/>
        </w:rPr>
        <w:t>2° SEMESTRE DE 2019</w:t>
      </w:r>
    </w:p>
    <w:p w14:paraId="5317600F" w14:textId="77777777" w:rsidR="00940322" w:rsidRPr="00297E43" w:rsidRDefault="00940322" w:rsidP="00940322">
      <w:pPr>
        <w:rPr>
          <w:color w:val="auto"/>
        </w:rPr>
      </w:pPr>
      <w:r w:rsidRPr="00297E43">
        <w:rPr>
          <w:color w:val="auto"/>
        </w:rPr>
        <w:t>Para o Fundo Monetário Internacional - FMI, o crescimento global será de 3,2% neste ano, com as economias avançadas evoluindo 1,9% e as emergentes e dos países em desenvolvimento 4,1%. Novas tensões comercias e diminuição no ritmo dos investimentos representam ameaças que podem reduzir esses números e aumentar a aversão ao risco, que exporia as vulnerabilidades financeiras acumuladas nesses últimos anos de baixas taxas de juros e de crescente endividamento.</w:t>
      </w:r>
    </w:p>
    <w:p w14:paraId="42CCF82A" w14:textId="77777777" w:rsidR="00940322" w:rsidRPr="00297E43" w:rsidRDefault="00940322" w:rsidP="00940322">
      <w:pPr>
        <w:rPr>
          <w:color w:val="auto"/>
        </w:rPr>
      </w:pPr>
      <w:r w:rsidRPr="00297E43">
        <w:rPr>
          <w:color w:val="auto"/>
        </w:rPr>
        <w:t>Para o diretor-gerente interino do FMI, David Lipton, os bancos centrais precisam estar prontos para responder com mais força a uma desaceleração da economia global e apontou que o ritmo lento de expansão que tem sido verificado aumenta a preocupação de que uma resposta possa ser necessária.</w:t>
      </w:r>
    </w:p>
    <w:p w14:paraId="16E5B59E" w14:textId="77777777" w:rsidR="00940322" w:rsidRPr="00297E43" w:rsidRDefault="00940322" w:rsidP="00940322">
      <w:pPr>
        <w:rPr>
          <w:b/>
          <w:color w:val="auto"/>
        </w:rPr>
      </w:pPr>
      <w:r w:rsidRPr="00297E43">
        <w:rPr>
          <w:b/>
          <w:color w:val="auto"/>
        </w:rPr>
        <w:lastRenderedPageBreak/>
        <w:t>EUROPA</w:t>
      </w:r>
    </w:p>
    <w:p w14:paraId="7CCBFB93" w14:textId="2EC63480" w:rsidR="00940322" w:rsidRPr="00297E43" w:rsidRDefault="00940322" w:rsidP="00940322">
      <w:pPr>
        <w:rPr>
          <w:color w:val="auto"/>
        </w:rPr>
      </w:pPr>
      <w:r w:rsidRPr="00297E43">
        <w:rPr>
          <w:color w:val="auto"/>
        </w:rPr>
        <w:t xml:space="preserve">Em relação à zona do euro, o FMI, conforme relatório publicado em 23 de julho último tem a expectativa de um crescimento de 1,3% em 2019 e de 1,6% em 2020. A instituição entende que a região enfrenta crescentes riscos devidos às tensões comerciais, ao Brexit e à Itália com os seus problemas fiscais e apoia os planos do Banco Central Europeu - BCE de oferecer mais estímulo, mantendo uma política monetária expansionista. Para a economista-chefe da Organização para a Cooperação e o Desenvolvimento Econômico – OCDE a Europa não está preparada para um choque econômico e precisa urgentemente abrir os cofres públicos para estimular o crescimento. Para o BCE, a economia da zona do euro deverá crescer 1,2% neste ano e 1,4% em 2020. </w:t>
      </w:r>
    </w:p>
    <w:p w14:paraId="387F2AEB" w14:textId="77777777" w:rsidR="00940322" w:rsidRPr="00297E43" w:rsidRDefault="00940322" w:rsidP="00940322">
      <w:pPr>
        <w:rPr>
          <w:color w:val="auto"/>
        </w:rPr>
      </w:pPr>
      <w:r w:rsidRPr="00297E43">
        <w:rPr>
          <w:color w:val="auto"/>
        </w:rPr>
        <w:t>Para a economia alemã, que deve ter encolhido no segundo trimestre deste ano, o FMI previu crescimento de 0,7% em 2019 e 1,7% em 2020. Para a economia francesa estimou um crescimento de 1,3%, este ano e de 1,4% no próximo. Para a italiana, 0,1% e 0,8% e para a espanhola 2,3% e 1,9%, respectivamente.</w:t>
      </w:r>
    </w:p>
    <w:p w14:paraId="5ECA0A91" w14:textId="019E3E3C" w:rsidR="00940322" w:rsidRPr="00297E43" w:rsidRDefault="00940322" w:rsidP="00940322">
      <w:pPr>
        <w:rPr>
          <w:color w:val="auto"/>
        </w:rPr>
      </w:pPr>
      <w:r w:rsidRPr="00297E43">
        <w:rPr>
          <w:color w:val="auto"/>
        </w:rPr>
        <w:t>Para o Reino Unido estima um crescimento de 1,3% neste ano e de 1,4% no próximo. Para a Rússia, país emergente do continente europeu, o FMI projetou a alta do PIB em 1,2% em 2019 e de 1,9% em 2020.</w:t>
      </w:r>
    </w:p>
    <w:p w14:paraId="58EA2B4E" w14:textId="77777777" w:rsidR="00940322" w:rsidRPr="00297E43" w:rsidRDefault="00940322" w:rsidP="00940322">
      <w:pPr>
        <w:rPr>
          <w:b/>
          <w:color w:val="auto"/>
        </w:rPr>
      </w:pPr>
      <w:r w:rsidRPr="00297E43">
        <w:rPr>
          <w:b/>
          <w:color w:val="auto"/>
        </w:rPr>
        <w:t>EUA</w:t>
      </w:r>
    </w:p>
    <w:p w14:paraId="5CF501F3" w14:textId="5F45D617" w:rsidR="00940322" w:rsidRPr="00297E43" w:rsidRDefault="00940322" w:rsidP="00940322">
      <w:pPr>
        <w:rPr>
          <w:color w:val="auto"/>
        </w:rPr>
      </w:pPr>
      <w:r w:rsidRPr="00297E43">
        <w:rPr>
          <w:color w:val="auto"/>
        </w:rPr>
        <w:t>O Fundo Monetário Internacional acredita que a economia americana crescerá 2,6% em 2019 e 1,9% em 2020. Dados do mês de junho mostram que os consumidores aumentaram os seus gastos nesse mês e que as fábricas elevaram a produção, o que sugere que a economia dos EUA está fechando um segundo trimestre sólido, apesar das tensões externas. Apesar do panorama geral sólido, os riscos crescentes para o crescimento mundial e as tensões comerciais são as principais preocupações do FED, que parece estar pronto para cortar as taxas de juros na sua próxima reunião, no final deste mês de julho. Em recente discurso, o presidente da instituição, Jerome Powell alertou sobre a possibilidade do corte dos juros agora, ao destacar que as perspectivas de inflação rondam níveis historicamente baixos.</w:t>
      </w:r>
    </w:p>
    <w:p w14:paraId="3E58BD24" w14:textId="77777777" w:rsidR="00940322" w:rsidRPr="00297E43" w:rsidRDefault="00940322" w:rsidP="00940322">
      <w:pPr>
        <w:rPr>
          <w:color w:val="auto"/>
        </w:rPr>
      </w:pPr>
      <w:r w:rsidRPr="00297E43">
        <w:rPr>
          <w:color w:val="auto"/>
        </w:rPr>
        <w:t>O debate agora nos EUA se concentra no tamanho do primeiro movimento de redução dos juros.</w:t>
      </w:r>
    </w:p>
    <w:p w14:paraId="1E9EE68A" w14:textId="77777777" w:rsidR="00940322" w:rsidRPr="00297E43" w:rsidRDefault="00940322" w:rsidP="00940322">
      <w:pPr>
        <w:rPr>
          <w:b/>
          <w:color w:val="auto"/>
        </w:rPr>
      </w:pPr>
      <w:r w:rsidRPr="00297E43">
        <w:rPr>
          <w:b/>
          <w:color w:val="auto"/>
        </w:rPr>
        <w:t>ÁSIA</w:t>
      </w:r>
    </w:p>
    <w:p w14:paraId="61406E10" w14:textId="2EEC50C5" w:rsidR="00940322" w:rsidRPr="00297E43" w:rsidRDefault="00940322" w:rsidP="00940322">
      <w:pPr>
        <w:rPr>
          <w:color w:val="auto"/>
        </w:rPr>
      </w:pPr>
      <w:r w:rsidRPr="00297E43">
        <w:rPr>
          <w:color w:val="auto"/>
        </w:rPr>
        <w:t xml:space="preserve">Para a China, o FMI previu uma evolução do PIB de 6,2%, em 2019 e de 6,0% em 2020. O fato é que o crescimento econômico da China desacelerou ao ritmo mais lento em décadas, enfraquecido pela “guerra” comercial com os EUA e pela hesitação das empresas em fazer grandes investimentos, apesar dos estímulos do governo. No entanto, para especialistas na economia chinesa, isso não deve levar a conclusões apressadas. </w:t>
      </w:r>
    </w:p>
    <w:p w14:paraId="7FCB4EAD" w14:textId="77777777" w:rsidR="00940322" w:rsidRPr="00297E43" w:rsidRDefault="00940322" w:rsidP="00940322">
      <w:pPr>
        <w:rPr>
          <w:color w:val="auto"/>
        </w:rPr>
      </w:pPr>
      <w:r w:rsidRPr="00297E43">
        <w:rPr>
          <w:color w:val="auto"/>
        </w:rPr>
        <w:t>A economia da China é hoje totalmente diferente em escala e em capacidade de recuperação do que no início da década de 90. O crescimento do PIB em 2018 foi equivalente ao tamanho da economia australiana, por exemplo. A economia chinesa, a segunda maior do mundo, ainda é a maior fonte do crescimento mundial. Parece que os verdadeiros problemas do país são de origem doméstica, especialmente o preço inchado das residências, as famílias sobrecarregadas de empréstimos, além da dívida em excesso dos governos provinciais e municipais.</w:t>
      </w:r>
    </w:p>
    <w:p w14:paraId="799EA49C" w14:textId="35962E25" w:rsidR="00940322" w:rsidRPr="00297E43" w:rsidRDefault="00940322" w:rsidP="00940322">
      <w:pPr>
        <w:rPr>
          <w:color w:val="auto"/>
        </w:rPr>
      </w:pPr>
      <w:r w:rsidRPr="00297E43">
        <w:rPr>
          <w:color w:val="auto"/>
        </w:rPr>
        <w:t>Em relação ao Japão, o FMI estimou um crescimento de 0,9% em 2019 e de 0,4% em 2020. Lá talvez um novo afrouxamento monetário seja necessário, na medida em que a inflação de junho atingiu a mínima de 2 anos. Para a Índia estimou um crescimento de 7,0% neste ano e de 7,2% no próximo.</w:t>
      </w:r>
    </w:p>
    <w:p w14:paraId="7DFD2218" w14:textId="77777777" w:rsidR="00985117" w:rsidRPr="00297E43" w:rsidRDefault="00985117" w:rsidP="00985117">
      <w:pPr>
        <w:rPr>
          <w:b/>
          <w:bCs/>
          <w:color w:val="auto"/>
          <w:szCs w:val="20"/>
        </w:rPr>
      </w:pPr>
      <w:r w:rsidRPr="00297E43">
        <w:rPr>
          <w:b/>
          <w:bCs/>
          <w:color w:val="auto"/>
          <w:szCs w:val="20"/>
        </w:rPr>
        <w:t>MERCADO DE RENDA FIXA E RENDA VARIÁVEL</w:t>
      </w:r>
    </w:p>
    <w:p w14:paraId="79E46CF2" w14:textId="77777777" w:rsidR="00940322" w:rsidRPr="00297E43" w:rsidRDefault="00940322" w:rsidP="00940322">
      <w:pPr>
        <w:rPr>
          <w:color w:val="auto"/>
        </w:rPr>
      </w:pPr>
      <w:r w:rsidRPr="00297E43">
        <w:rPr>
          <w:color w:val="auto"/>
        </w:rPr>
        <w:t xml:space="preserve">Em março último a China vendeu a maior quantidade de títulos do Tesouro americano em dois anos, o que elevou as preocupações de que o país possa usar a sua posição de maior credor externo dos EUA como arma na “guerra” comercial que os países travam desde o ano passado e abalar o mercado internacional de renda fixa. </w:t>
      </w:r>
    </w:p>
    <w:p w14:paraId="4021F261" w14:textId="4B346DC2" w:rsidR="00940322" w:rsidRPr="00297E43" w:rsidRDefault="00940322" w:rsidP="00940322">
      <w:pPr>
        <w:rPr>
          <w:color w:val="auto"/>
        </w:rPr>
      </w:pPr>
      <w:r w:rsidRPr="00297E43">
        <w:rPr>
          <w:color w:val="auto"/>
        </w:rPr>
        <w:t>Dos US$ 1,2 trilhão em títulos americanos que detêm, a China vendeu naquele mês cerca de US$ 20 bilhões. Entretanto, acredita-se que dificilmente ela irá usar esse trunfo, na “guerra” comercial, pois uma desvalorização dos papéis também significaria perdas em sua própria carteira. A grande quantidade de títulos dos EUA nas mãos dos chineses reflete na prática o desequilíbrio comercial com os EUA, na medida em que a China compra os papéis com os dólares provenientes das exportações.</w:t>
      </w:r>
    </w:p>
    <w:p w14:paraId="07893E4B" w14:textId="69928B25" w:rsidR="00940322" w:rsidRPr="00297E43" w:rsidRDefault="00940322" w:rsidP="00940322">
      <w:pPr>
        <w:rPr>
          <w:color w:val="auto"/>
        </w:rPr>
      </w:pPr>
      <w:r w:rsidRPr="00297E43">
        <w:rPr>
          <w:color w:val="auto"/>
        </w:rPr>
        <w:t xml:space="preserve">Na medida em que o mercado internacional veio acreditando que o FED deverá promover um corte nas taxas de juros, os títulos emitidos pelo Tesouro americano tiveram o maior aumento nos seus preços desde a crise de 2008. Baixas taxas de juros, pelo que está entendendo o mercado, poderão ser ainda mais baixas. E por um longo tempo. Seja porque os reduzidos índices de inflação global devam permanecer assim por conta de mudanças estruturais na formação dos preços ou por conta da atividade econômica mais fraca à frente, quando ocorre a inversão na curva de juros, é um alívio pensar em taxas de juros </w:t>
      </w:r>
      <w:r w:rsidRPr="00297E43">
        <w:rPr>
          <w:color w:val="auto"/>
        </w:rPr>
        <w:lastRenderedPageBreak/>
        <w:t>cadentes em um mundo em que a dívida global continua aumentando e se aproxima dos US$ 250 trilhões ou o equivalente a 317% do PIB mundial.</w:t>
      </w:r>
    </w:p>
    <w:p w14:paraId="7FF7C577" w14:textId="484AA40B" w:rsidR="00940322" w:rsidRPr="00297E43" w:rsidRDefault="00940322" w:rsidP="00940322">
      <w:pPr>
        <w:rPr>
          <w:color w:val="auto"/>
        </w:rPr>
      </w:pPr>
      <w:r w:rsidRPr="00297E43">
        <w:rPr>
          <w:color w:val="auto"/>
        </w:rPr>
        <w:t>Para as bolsas internacionais, que antes tinham a perspectiva de normalização das políticas monetárias, o que não ocorreu e com as crescentes tensões comerciais, o cenário parecia bastante incerto e adverso. Agora, com a perspectiva de redução dos juros mundo afora e do seu reflexo no estímulo ao consumo e também devido ao resultado das empresas, o cenário indica uma continuidade do movimento de alta. Que parece querer durar mais um tempo. Uma normalização das relações EUA x China poderão influenciar ainda mais favoravelmente.</w:t>
      </w:r>
    </w:p>
    <w:p w14:paraId="23254D0F" w14:textId="5380B7D5" w:rsidR="006B0FB7" w:rsidRPr="00297E43" w:rsidRDefault="006B0FB7" w:rsidP="007D7FE1">
      <w:pPr>
        <w:pStyle w:val="Ttulo3"/>
        <w:spacing w:after="240"/>
        <w:rPr>
          <w:color w:val="auto"/>
        </w:rPr>
      </w:pPr>
      <w:bookmarkStart w:id="23" w:name="_Toc20130595"/>
      <w:r w:rsidRPr="00297E43">
        <w:rPr>
          <w:color w:val="auto"/>
        </w:rPr>
        <w:t>NACIONAL</w:t>
      </w:r>
      <w:r w:rsidR="00985117" w:rsidRPr="00297E43">
        <w:rPr>
          <w:color w:val="auto"/>
        </w:rPr>
        <w:t xml:space="preserve"> – </w:t>
      </w:r>
      <w:bookmarkEnd w:id="23"/>
      <w:r w:rsidR="00FC23D9" w:rsidRPr="00297E43">
        <w:rPr>
          <w:color w:val="auto"/>
        </w:rPr>
        <w:t>2° SEMESTRE DE 2019</w:t>
      </w:r>
    </w:p>
    <w:p w14:paraId="4A02082A" w14:textId="77777777" w:rsidR="00FC23D9" w:rsidRPr="00297E43" w:rsidRDefault="00FC23D9" w:rsidP="00FC23D9">
      <w:pPr>
        <w:rPr>
          <w:b/>
          <w:color w:val="auto"/>
        </w:rPr>
      </w:pPr>
      <w:r w:rsidRPr="00297E43">
        <w:rPr>
          <w:b/>
          <w:color w:val="auto"/>
        </w:rPr>
        <w:t>ATIVIDADE ECONÔMICA E EMPREGO</w:t>
      </w:r>
    </w:p>
    <w:p w14:paraId="5CF79EC2" w14:textId="1C29F3DB" w:rsidR="00FC23D9" w:rsidRPr="00297E43" w:rsidRDefault="00FC23D9" w:rsidP="00FC23D9">
      <w:pPr>
        <w:rPr>
          <w:color w:val="auto"/>
        </w:rPr>
      </w:pPr>
      <w:r w:rsidRPr="00297E43">
        <w:rPr>
          <w:color w:val="auto"/>
        </w:rPr>
        <w:t>Para o FMI, o PIB do Brasil irá crescer 0,8% em 2019 e 2,4% em 2020. Para o Banco Central, conforme o último relatório Trimestral de Inflação, o crescimento do PIB deverá ser de 0,8% em 2019 e de 2,2% em 2020.</w:t>
      </w:r>
    </w:p>
    <w:p w14:paraId="22927336" w14:textId="77777777" w:rsidR="00FC23D9" w:rsidRPr="00297E43" w:rsidRDefault="00FC23D9" w:rsidP="00FC23D9">
      <w:pPr>
        <w:rPr>
          <w:color w:val="auto"/>
        </w:rPr>
      </w:pPr>
      <w:r w:rsidRPr="00297E43">
        <w:rPr>
          <w:color w:val="auto"/>
        </w:rPr>
        <w:t xml:space="preserve">A reforma da previdência, para que o país volte a crescer é indispensável e sua não aprovação seria um desastre, no entanto, ela sozinha não levará a uma aceleração significativa do crescimento, de acordo com vários economistas. Os avanços de medias que simplifiquem o sistema tributário, melhorem o ambiente de negócios e aumentem a previsibilidade no país são fundamentais para um crescimento mais robusto, ainda mais em uma situação em que o governo não terá recursos para investir. Para Luiz Fernando Figueiredo, ex-diretor de Política Monetária do Banco Central o Copom não tem tempo a perder e deveria cortar a taxa Selic em 0,5 pontos percentual ainda em julho. </w:t>
      </w:r>
    </w:p>
    <w:p w14:paraId="675AA652" w14:textId="77777777" w:rsidR="00FC23D9" w:rsidRPr="00297E43" w:rsidRDefault="00FC23D9" w:rsidP="00FC23D9">
      <w:pPr>
        <w:rPr>
          <w:color w:val="auto"/>
        </w:rPr>
      </w:pPr>
      <w:r w:rsidRPr="00297E43">
        <w:rPr>
          <w:color w:val="auto"/>
        </w:rPr>
        <w:t>Para a média dos economistas que militam no mercado financeiro, conforme a pesquisa conduzida pelo Banco Central e divulgada através do Relatório Focus, em sua edição de 19 de julho, a expectativa de crescimento do Brasil é de 0,82% em 2019 e de 2,10% em 2020.</w:t>
      </w:r>
    </w:p>
    <w:p w14:paraId="1FF8A833" w14:textId="77777777" w:rsidR="00FC23D9" w:rsidRPr="00297E43" w:rsidRDefault="00FC23D9" w:rsidP="00FC23D9">
      <w:pPr>
        <w:rPr>
          <w:b/>
          <w:color w:val="auto"/>
        </w:rPr>
      </w:pPr>
      <w:r w:rsidRPr="00297E43">
        <w:rPr>
          <w:b/>
          <w:color w:val="auto"/>
        </w:rPr>
        <w:t>SETOR PÚBLICO</w:t>
      </w:r>
    </w:p>
    <w:p w14:paraId="7EB061EB" w14:textId="4C470D16" w:rsidR="00FC23D9" w:rsidRPr="00297E43" w:rsidRDefault="00FC23D9" w:rsidP="00FC23D9">
      <w:pPr>
        <w:rPr>
          <w:color w:val="auto"/>
        </w:rPr>
      </w:pPr>
      <w:r w:rsidRPr="00297E43">
        <w:rPr>
          <w:color w:val="auto"/>
        </w:rPr>
        <w:t xml:space="preserve">De acordo com o boletim Prisma Fiscal de julho, divulgado pela Secretária de Política Econômica do Ministério da Fazenda, a mediana de previsões para o déficit fiscal deste ano passou de R$ 105,91 bilhões em junho, para R$ 105,94 bilhões neste mês. A estimativa, no entanto, continuou bem abaixo da meta fiscal para 2019, que é de um déficit primário de R$ 139 bilhões.  Para 2020, a estimativa Prisma é de um déficit primário de R$ 76,15 bilhões, quando a meta fiscal embutida na LDO é de R$ 124,10 bilhões. </w:t>
      </w:r>
    </w:p>
    <w:p w14:paraId="4FA965F6" w14:textId="77777777" w:rsidR="00FC23D9" w:rsidRPr="00297E43" w:rsidRDefault="00FC23D9" w:rsidP="00FC23D9">
      <w:pPr>
        <w:rPr>
          <w:color w:val="auto"/>
        </w:rPr>
      </w:pPr>
      <w:r w:rsidRPr="00297E43">
        <w:rPr>
          <w:color w:val="auto"/>
        </w:rPr>
        <w:t xml:space="preserve">Também para o ajuste fiscal que será necessário, só a reforma da Previdência não basta. Segundo a agência de rating Fitch, a reforma da Previdência é decisiva para o equilíbrio fiscal brasileiro, mas não é suficiente para estabilizar o endividamento crescente ou levar a uma revisão positiva do rating do Brasil. Para o economista Afonso Celso Pastore a reforma previdenciária é essencial para reduzir os riscos fiscais e permitir que os empresários voltem a investir, mas não é suficiente. Para inverter a tendência de queda da renda per capita, o Brasil precisa aumentar sua produtividade. </w:t>
      </w:r>
    </w:p>
    <w:p w14:paraId="30B9764B" w14:textId="1BAFD586" w:rsidR="00FC23D9" w:rsidRPr="00297E43" w:rsidRDefault="00FC23D9" w:rsidP="00FC23D9">
      <w:pPr>
        <w:rPr>
          <w:color w:val="auto"/>
        </w:rPr>
      </w:pPr>
      <w:r w:rsidRPr="00297E43">
        <w:rPr>
          <w:color w:val="auto"/>
        </w:rPr>
        <w:t>Quanto à reforma fiscal, embora ainda esteja em fase do levantamento de propostas na Câmara dos Deputados, ela já está em tramitação no Senado e acredita-se que após o andamento da reforma da Previdência, ela será a bola da vez.</w:t>
      </w:r>
    </w:p>
    <w:p w14:paraId="3D9742EF" w14:textId="77777777" w:rsidR="00FC23D9" w:rsidRPr="00297E43" w:rsidRDefault="00FC23D9" w:rsidP="00FC23D9">
      <w:pPr>
        <w:rPr>
          <w:b/>
          <w:color w:val="auto"/>
        </w:rPr>
      </w:pPr>
      <w:r w:rsidRPr="00297E43">
        <w:rPr>
          <w:b/>
          <w:color w:val="auto"/>
        </w:rPr>
        <w:t>INFLAÇÃO</w:t>
      </w:r>
    </w:p>
    <w:p w14:paraId="77DDDE56" w14:textId="16FA2E8F" w:rsidR="00FC23D9" w:rsidRPr="00297E43" w:rsidRDefault="00FC23D9" w:rsidP="00FC23D9">
      <w:pPr>
        <w:rPr>
          <w:color w:val="auto"/>
        </w:rPr>
      </w:pPr>
      <w:r w:rsidRPr="00297E43">
        <w:rPr>
          <w:color w:val="auto"/>
        </w:rPr>
        <w:t xml:space="preserve">Conforme o último Relatório Focus, o mercado financeiro estima que a inflação de 2019, medida através do IPCA será de 3,77% e de 3,90% a de 2020. Para o Banco Central, através do último Relatório Trimestral de Inflação, ela será de 3,6 0% neste ano, portanto, abaixo do centro da meta que é de 4,25%. Para 2020 estimou a variação do IPCA em 3,70%, para o centro da meta de 4%. As projeções apresentadas embutem o entendimento de que o processo de reformas estruturais, como as fiscais e creditícias, contribui para a redução gradual da taxa de juros estrutural. </w:t>
      </w:r>
    </w:p>
    <w:p w14:paraId="55624267" w14:textId="77777777" w:rsidR="00FC23D9" w:rsidRPr="00297E43" w:rsidRDefault="00FC23D9" w:rsidP="00FC23D9">
      <w:pPr>
        <w:rPr>
          <w:b/>
          <w:color w:val="auto"/>
        </w:rPr>
      </w:pPr>
      <w:r w:rsidRPr="00297E43">
        <w:rPr>
          <w:b/>
          <w:color w:val="auto"/>
        </w:rPr>
        <w:t>JUROS</w:t>
      </w:r>
    </w:p>
    <w:p w14:paraId="7DCA81D7" w14:textId="42E433BE" w:rsidR="00FC23D9" w:rsidRPr="00297E43" w:rsidRDefault="00FC23D9" w:rsidP="00FC23D9">
      <w:pPr>
        <w:rPr>
          <w:color w:val="auto"/>
        </w:rPr>
      </w:pPr>
      <w:r w:rsidRPr="00297E43">
        <w:rPr>
          <w:color w:val="auto"/>
        </w:rPr>
        <w:t>Para o mercado financeiro, este ano irá terminar com a taxa Selic em 5,50% ao ano e no próximo em 5,75% ao ano. Para o Copom, conforme o comunicado da última reunião, a conjuntura econômica prescreve política monetária estimulativa, ou seja, com taxas de juros abaixo da taxa estrutural.</w:t>
      </w:r>
    </w:p>
    <w:p w14:paraId="5CE3FF81" w14:textId="77777777" w:rsidR="00FC23D9" w:rsidRPr="00297E43" w:rsidRDefault="00FC23D9" w:rsidP="00FC23D9">
      <w:pPr>
        <w:rPr>
          <w:color w:val="auto"/>
        </w:rPr>
      </w:pPr>
      <w:r w:rsidRPr="00297E43">
        <w:rPr>
          <w:color w:val="auto"/>
        </w:rPr>
        <w:t>Para o economista e ex-presidente do Banco Central, Afonso Celso Pastore, o atual ambiente de depressão econômica, a ausência de risco inflacionário e a aprovação da reforma da Previdência em primeiro turno já criam uma situação propícia para que a taxa Selic caia a até 5% ao ano no final do ano, com a reforma aprovada é claro. Conforme o ministro Paulo Guedes, se não houver teto para os gastos públicos os juros poderão subir para o patamar de 10%, 15% ao ano, facilmente.</w:t>
      </w:r>
    </w:p>
    <w:p w14:paraId="31CDCF02" w14:textId="77777777" w:rsidR="00FC23D9" w:rsidRPr="00297E43" w:rsidRDefault="00FC23D9" w:rsidP="00FC23D9">
      <w:pPr>
        <w:rPr>
          <w:color w:val="auto"/>
        </w:rPr>
      </w:pPr>
      <w:r w:rsidRPr="00297E43">
        <w:rPr>
          <w:color w:val="auto"/>
        </w:rPr>
        <w:lastRenderedPageBreak/>
        <w:t>Importante destacar que o presidente da República já assinou projeto de lei que será enviado ao Congresso Nacional para estabelecer a autonomia formal do Banco Central do Brasil.</w:t>
      </w:r>
    </w:p>
    <w:p w14:paraId="5BA53323" w14:textId="77777777" w:rsidR="00FC23D9" w:rsidRPr="00297E43" w:rsidRDefault="00FC23D9" w:rsidP="00FC23D9">
      <w:pPr>
        <w:rPr>
          <w:b/>
          <w:color w:val="auto"/>
        </w:rPr>
      </w:pPr>
      <w:r w:rsidRPr="00297E43">
        <w:rPr>
          <w:b/>
          <w:color w:val="auto"/>
        </w:rPr>
        <w:t>CÂMBIO E SETOR EXTERNO</w:t>
      </w:r>
    </w:p>
    <w:p w14:paraId="1A9DA55F" w14:textId="04FA2AD4" w:rsidR="00FC23D9" w:rsidRPr="00297E43" w:rsidRDefault="00FC23D9" w:rsidP="00FC23D9">
      <w:pPr>
        <w:rPr>
          <w:color w:val="auto"/>
        </w:rPr>
      </w:pPr>
      <w:r w:rsidRPr="00297E43">
        <w:rPr>
          <w:color w:val="auto"/>
        </w:rPr>
        <w:t xml:space="preserve">O último Relatório Focus revelou que o mercado financeiro espera que o dólar esteja cotado a R$ 3,75 no final de 2019 e a R$ 3,80 no final de 2020. Em relação à Balança Comercial, o Relatório Focus estima um superávit de US$ 51 bilhões em 2019 e de US$ 46,50 bilhões em 2020.  Para o déficit em transações correntes, o mercado o estima em US$ 23 bilhões em 2019 e em US$ 32,8 bilhões em 2020. E finalmente para o Investimento Estrangeiro Direto – IED, a estimativa é de um ingresso de US$ 85 bilhões neste ano e de US$ 84,20 no próximo. </w:t>
      </w:r>
    </w:p>
    <w:p w14:paraId="2CDDE017" w14:textId="77777777" w:rsidR="00FC23D9" w:rsidRPr="00297E43" w:rsidRDefault="00FC23D9" w:rsidP="00FC23D9">
      <w:pPr>
        <w:rPr>
          <w:color w:val="auto"/>
        </w:rPr>
      </w:pPr>
      <w:r w:rsidRPr="00297E43">
        <w:rPr>
          <w:color w:val="auto"/>
        </w:rPr>
        <w:t>Importante destacar novamente o acordo comercial entre o Mercosul e a União Europeia. Segundo estimativas do Ministério da Economia ele representará um incremento do PIB brasileiro de US$ 87,5 bilhões em 15 anos, podendo chegar a US$ 125 bilhões se consideradas a redução das barreiras não-tarifárias e o incremento esperado na produtividade total dos fatores de produção. O aumento de investimentos no Brasil no mesmo período será da ordem de US$ 113 bilhões. Com relação ao comércio bilateral, as exportações do país para a União Europeia apresentarão quase US$ 100 bilhões de ganhos até 2035.</w:t>
      </w:r>
    </w:p>
    <w:p w14:paraId="03F7A093" w14:textId="77777777" w:rsidR="00424A9C" w:rsidRPr="00297E43" w:rsidRDefault="00424A9C" w:rsidP="00424A9C">
      <w:pPr>
        <w:rPr>
          <w:b/>
          <w:bCs/>
          <w:color w:val="auto"/>
          <w:szCs w:val="20"/>
        </w:rPr>
      </w:pPr>
      <w:r w:rsidRPr="00297E43">
        <w:rPr>
          <w:b/>
          <w:bCs/>
          <w:color w:val="auto"/>
          <w:szCs w:val="20"/>
        </w:rPr>
        <w:t>MERCADO DE RENDA FIXA E RENDA VARIÁVEL</w:t>
      </w:r>
    </w:p>
    <w:p w14:paraId="1717C5FA" w14:textId="77777777" w:rsidR="00A12569" w:rsidRPr="00297E43" w:rsidRDefault="00A12569" w:rsidP="00A12569">
      <w:pPr>
        <w:rPr>
          <w:color w:val="auto"/>
        </w:rPr>
      </w:pPr>
      <w:r w:rsidRPr="00297E43">
        <w:rPr>
          <w:color w:val="auto"/>
        </w:rPr>
        <w:t>É também relevante destacarmos que, se por um lado são animadoras as perspectivas de redução da taxa Selic, por outro lado, o mercado sempre costuma antecipar esses movimentos de forma a esgotar ou diminuir bastante a possibilidade de ganhos após os fatos. Na verdade, em termos históricos, os juros para o investidor nunca estiveram tão baixos no Brasil, em termos nominais. Passamos assim, daqui pra frente, a navegar por mares desconhecidos em que de fato, uma profunda transformação da estrutura a termo das taxas de juros possa estar em curso.</w:t>
      </w:r>
    </w:p>
    <w:p w14:paraId="68EA96CB" w14:textId="77777777" w:rsidR="00A12569" w:rsidRPr="00297E43" w:rsidRDefault="00A12569" w:rsidP="00A12569">
      <w:pPr>
        <w:rPr>
          <w:color w:val="auto"/>
        </w:rPr>
      </w:pPr>
      <w:r w:rsidRPr="00297E43">
        <w:rPr>
          <w:color w:val="auto"/>
        </w:rPr>
        <w:t>Com as taxas de juros já em patamares muito baixos e com a perspectiva de futuras quedas, pelas razões já enumeradas, torna-se ainda mais sedutor o investimento em ativos de renda variável, como as ações, principalmente pela potencialidade dos ganhos que podem gerar. Prevalecendo o espírito reformista, o Congresso Nacional do Brasil em muito pode acabar colaborando para a apreciação dos ativos de maior risco, principalmente se for levada a cabo uma reforma tributária que racionalize, simplifique e até reduza a carga tributária que incide sobre as empresas de capital aberto e que têm suas ações negociadas em bolsa. Lucros maiores significam dividendos maiores e em se aumentando o retorno dos acionistas, acabam subindo os preços das ações.</w:t>
      </w:r>
    </w:p>
    <w:p w14:paraId="02A0ABC7" w14:textId="0AA7D35D" w:rsidR="00A12569" w:rsidRPr="00297E43" w:rsidRDefault="00A12569" w:rsidP="00A12569">
      <w:pPr>
        <w:rPr>
          <w:color w:val="auto"/>
        </w:rPr>
      </w:pPr>
      <w:r w:rsidRPr="00297E43">
        <w:rPr>
          <w:color w:val="auto"/>
        </w:rPr>
        <w:t>Como dissemos em edições anteriores, merece também especial atenção o investimento em fundos imobiliários, embora sejam poucos os disponíveis para os RPPS. A indústria desses fundos vem apresentando desempenho destacado, por conta das taxas de juros em recorde de baixa e com a avidez dos investidores de varejo, sobretudo os com o perfil rentista.</w:t>
      </w:r>
    </w:p>
    <w:p w14:paraId="6909F357" w14:textId="77777777" w:rsidR="006B0FB7" w:rsidRPr="00297E43" w:rsidRDefault="006B0FB7" w:rsidP="00314466">
      <w:pPr>
        <w:pStyle w:val="Ttulo2"/>
        <w:rPr>
          <w:color w:val="auto"/>
        </w:rPr>
      </w:pPr>
      <w:bookmarkStart w:id="24" w:name="_Toc496794731"/>
      <w:bookmarkStart w:id="25" w:name="_Toc496794732"/>
      <w:bookmarkStart w:id="26" w:name="_Toc496794733"/>
      <w:bookmarkStart w:id="27" w:name="_Toc496794734"/>
      <w:bookmarkStart w:id="28" w:name="_Toc496794735"/>
      <w:bookmarkStart w:id="29" w:name="_Toc496794736"/>
      <w:bookmarkStart w:id="30" w:name="_Toc496794737"/>
      <w:bookmarkStart w:id="31" w:name="_Toc496794738"/>
      <w:bookmarkStart w:id="32" w:name="_Toc496794739"/>
      <w:bookmarkStart w:id="33" w:name="_Toc496794740"/>
      <w:bookmarkStart w:id="34" w:name="_Toc496794741"/>
      <w:bookmarkStart w:id="35" w:name="_Toc496794742"/>
      <w:bookmarkStart w:id="36" w:name="_Toc496794743"/>
      <w:bookmarkStart w:id="37" w:name="_Toc496794744"/>
      <w:bookmarkStart w:id="38" w:name="_Toc496794745"/>
      <w:bookmarkStart w:id="39" w:name="_Toc496794746"/>
      <w:bookmarkStart w:id="40" w:name="_Toc496794747"/>
      <w:bookmarkStart w:id="41" w:name="_Toc496794748"/>
      <w:bookmarkStart w:id="42" w:name="_Toc496794749"/>
      <w:bookmarkStart w:id="43" w:name="_Toc496794750"/>
      <w:bookmarkStart w:id="44" w:name="_Toc496794751"/>
      <w:bookmarkStart w:id="45" w:name="_Toc496794752"/>
      <w:bookmarkStart w:id="46" w:name="_Toc496794753"/>
      <w:bookmarkStart w:id="47" w:name="_Toc496794754"/>
      <w:bookmarkStart w:id="48" w:name="_Toc496794755"/>
      <w:bookmarkStart w:id="49" w:name="_Toc496794756"/>
      <w:bookmarkStart w:id="50" w:name="_Toc496794757"/>
      <w:bookmarkStart w:id="51" w:name="_Toc496794758"/>
      <w:bookmarkStart w:id="52" w:name="_Toc496794759"/>
      <w:bookmarkStart w:id="53" w:name="_Toc496794760"/>
      <w:bookmarkStart w:id="54" w:name="_Toc496794761"/>
      <w:bookmarkStart w:id="55" w:name="_Toc496794762"/>
      <w:bookmarkStart w:id="56" w:name="_Toc496794763"/>
      <w:bookmarkStart w:id="57" w:name="_Toc490036545"/>
      <w:bookmarkStart w:id="58" w:name="_Toc2013059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97E43">
        <w:rPr>
          <w:color w:val="auto"/>
        </w:rPr>
        <w:t>EXPECTATIVAS DE MERCADO</w:t>
      </w:r>
      <w:bookmarkEnd w:id="57"/>
      <w:bookmarkEnd w:id="58"/>
    </w:p>
    <w:tbl>
      <w:tblPr>
        <w:tblW w:w="0" w:type="auto"/>
        <w:jc w:val="center"/>
        <w:tblLayout w:type="fixed"/>
        <w:tblCellMar>
          <w:left w:w="70" w:type="dxa"/>
          <w:right w:w="70" w:type="dxa"/>
        </w:tblCellMar>
        <w:tblLook w:val="04A0" w:firstRow="1" w:lastRow="0" w:firstColumn="1" w:lastColumn="0" w:noHBand="0" w:noVBand="1"/>
      </w:tblPr>
      <w:tblGrid>
        <w:gridCol w:w="2977"/>
        <w:gridCol w:w="1134"/>
        <w:gridCol w:w="1276"/>
      </w:tblGrid>
      <w:tr w:rsidR="00297E43" w:rsidRPr="00297E43" w14:paraId="190E52DF" w14:textId="77777777" w:rsidTr="006872C4">
        <w:trPr>
          <w:trHeight w:val="315"/>
          <w:jc w:val="center"/>
        </w:trPr>
        <w:tc>
          <w:tcPr>
            <w:tcW w:w="2977" w:type="dxa"/>
            <w:tcBorders>
              <w:top w:val="single" w:sz="4" w:space="0" w:color="A5A5A5"/>
              <w:left w:val="nil"/>
              <w:bottom w:val="single" w:sz="4" w:space="0" w:color="A5A5A5"/>
              <w:right w:val="nil"/>
            </w:tcBorders>
            <w:shd w:val="clear" w:color="auto" w:fill="auto"/>
            <w:noWrap/>
            <w:vAlign w:val="center"/>
            <w:hideMark/>
          </w:tcPr>
          <w:p w14:paraId="7F6113A8" w14:textId="77777777" w:rsidR="00F30D58" w:rsidRPr="00297E43" w:rsidRDefault="00F30D58" w:rsidP="006872C4">
            <w:pPr>
              <w:spacing w:after="0" w:line="240" w:lineRule="auto"/>
              <w:jc w:val="center"/>
              <w:rPr>
                <w:rFonts w:ascii="Calibri" w:eastAsia="Times New Roman" w:hAnsi="Calibri" w:cs="Times New Roman"/>
                <w:b/>
                <w:bCs/>
                <w:color w:val="auto"/>
                <w:sz w:val="14"/>
                <w:szCs w:val="24"/>
                <w:lang w:eastAsia="pt-BR"/>
              </w:rPr>
            </w:pPr>
            <w:r w:rsidRPr="00297E43">
              <w:rPr>
                <w:rFonts w:ascii="Calibri" w:eastAsia="Times New Roman" w:hAnsi="Calibri" w:cs="Times New Roman"/>
                <w:b/>
                <w:bCs/>
                <w:color w:val="auto"/>
                <w:sz w:val="14"/>
                <w:szCs w:val="24"/>
                <w:lang w:eastAsia="pt-BR"/>
              </w:rPr>
              <w:t>Índices (Mediana Agregado)</w:t>
            </w:r>
          </w:p>
        </w:tc>
        <w:tc>
          <w:tcPr>
            <w:tcW w:w="1134" w:type="dxa"/>
            <w:tcBorders>
              <w:top w:val="single" w:sz="4" w:space="0" w:color="A5A5A5"/>
              <w:left w:val="nil"/>
              <w:bottom w:val="single" w:sz="4" w:space="0" w:color="A5A5A5"/>
              <w:right w:val="nil"/>
            </w:tcBorders>
            <w:shd w:val="clear" w:color="auto" w:fill="auto"/>
            <w:noWrap/>
            <w:vAlign w:val="center"/>
            <w:hideMark/>
          </w:tcPr>
          <w:p w14:paraId="4A3C1DDD" w14:textId="77777777" w:rsidR="00F30D58" w:rsidRPr="00297E43" w:rsidRDefault="00F30D58" w:rsidP="006872C4">
            <w:pPr>
              <w:spacing w:after="0" w:line="240" w:lineRule="auto"/>
              <w:jc w:val="center"/>
              <w:rPr>
                <w:rFonts w:ascii="Calibri" w:eastAsia="Times New Roman" w:hAnsi="Calibri" w:cs="Times New Roman"/>
                <w:b/>
                <w:bCs/>
                <w:color w:val="auto"/>
                <w:sz w:val="14"/>
                <w:szCs w:val="24"/>
                <w:lang w:eastAsia="pt-BR"/>
              </w:rPr>
            </w:pPr>
            <w:r w:rsidRPr="00297E43">
              <w:rPr>
                <w:rFonts w:ascii="Calibri" w:eastAsia="Times New Roman" w:hAnsi="Calibri" w:cs="Times New Roman"/>
                <w:b/>
                <w:bCs/>
                <w:color w:val="auto"/>
                <w:sz w:val="14"/>
                <w:szCs w:val="24"/>
                <w:lang w:eastAsia="pt-BR"/>
              </w:rPr>
              <w:t>2019</w:t>
            </w:r>
          </w:p>
        </w:tc>
        <w:tc>
          <w:tcPr>
            <w:tcW w:w="1276" w:type="dxa"/>
            <w:tcBorders>
              <w:top w:val="single" w:sz="4" w:space="0" w:color="A5A5A5"/>
              <w:left w:val="nil"/>
              <w:bottom w:val="single" w:sz="4" w:space="0" w:color="A5A5A5"/>
              <w:right w:val="nil"/>
            </w:tcBorders>
            <w:shd w:val="clear" w:color="auto" w:fill="auto"/>
            <w:noWrap/>
            <w:vAlign w:val="center"/>
            <w:hideMark/>
          </w:tcPr>
          <w:p w14:paraId="7F5272E2" w14:textId="77777777" w:rsidR="00F30D58" w:rsidRPr="00297E43" w:rsidRDefault="00F30D58" w:rsidP="006872C4">
            <w:pPr>
              <w:spacing w:after="0" w:line="240" w:lineRule="auto"/>
              <w:jc w:val="center"/>
              <w:rPr>
                <w:rFonts w:ascii="Calibri" w:eastAsia="Times New Roman" w:hAnsi="Calibri" w:cs="Times New Roman"/>
                <w:b/>
                <w:bCs/>
                <w:color w:val="auto"/>
                <w:sz w:val="14"/>
                <w:szCs w:val="24"/>
                <w:lang w:eastAsia="pt-BR"/>
              </w:rPr>
            </w:pPr>
            <w:r w:rsidRPr="00297E43">
              <w:rPr>
                <w:rFonts w:ascii="Calibri" w:eastAsia="Times New Roman" w:hAnsi="Calibri" w:cs="Times New Roman"/>
                <w:b/>
                <w:bCs/>
                <w:color w:val="auto"/>
                <w:sz w:val="14"/>
                <w:szCs w:val="24"/>
                <w:lang w:eastAsia="pt-BR"/>
              </w:rPr>
              <w:t>2020</w:t>
            </w:r>
          </w:p>
        </w:tc>
      </w:tr>
      <w:tr w:rsidR="00297E43" w:rsidRPr="00297E43" w14:paraId="7B6B5767" w14:textId="77777777" w:rsidTr="006872C4">
        <w:trPr>
          <w:trHeight w:val="300"/>
          <w:jc w:val="center"/>
        </w:trPr>
        <w:tc>
          <w:tcPr>
            <w:tcW w:w="2977" w:type="dxa"/>
            <w:tcBorders>
              <w:top w:val="nil"/>
              <w:left w:val="nil"/>
              <w:bottom w:val="nil"/>
              <w:right w:val="nil"/>
            </w:tcBorders>
            <w:shd w:val="clear" w:color="EDEDED" w:fill="EDEDED"/>
            <w:noWrap/>
            <w:vAlign w:val="center"/>
            <w:hideMark/>
          </w:tcPr>
          <w:p w14:paraId="558DF7C6"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IPCA (%)</w:t>
            </w:r>
          </w:p>
        </w:tc>
        <w:tc>
          <w:tcPr>
            <w:tcW w:w="1134" w:type="dxa"/>
            <w:tcBorders>
              <w:top w:val="nil"/>
              <w:left w:val="nil"/>
              <w:bottom w:val="nil"/>
              <w:right w:val="nil"/>
            </w:tcBorders>
            <w:shd w:val="clear" w:color="EDEDED" w:fill="EDEDED"/>
            <w:noWrap/>
            <w:vAlign w:val="center"/>
            <w:hideMark/>
          </w:tcPr>
          <w:p w14:paraId="42673AB3" w14:textId="2FC19C16"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3,44</w:t>
            </w:r>
          </w:p>
        </w:tc>
        <w:tc>
          <w:tcPr>
            <w:tcW w:w="1276" w:type="dxa"/>
            <w:tcBorders>
              <w:top w:val="nil"/>
              <w:left w:val="nil"/>
              <w:bottom w:val="nil"/>
              <w:right w:val="nil"/>
            </w:tcBorders>
            <w:shd w:val="clear" w:color="EDEDED" w:fill="EDEDED"/>
            <w:noWrap/>
            <w:vAlign w:val="center"/>
            <w:hideMark/>
          </w:tcPr>
          <w:p w14:paraId="0D43C1B8" w14:textId="318DD43B"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3,80</w:t>
            </w:r>
          </w:p>
        </w:tc>
      </w:tr>
      <w:tr w:rsidR="00297E43" w:rsidRPr="00297E43" w14:paraId="2B9708DD" w14:textId="77777777" w:rsidTr="006872C4">
        <w:trPr>
          <w:trHeight w:val="300"/>
          <w:jc w:val="center"/>
        </w:trPr>
        <w:tc>
          <w:tcPr>
            <w:tcW w:w="2977" w:type="dxa"/>
            <w:tcBorders>
              <w:top w:val="nil"/>
              <w:left w:val="nil"/>
              <w:bottom w:val="nil"/>
              <w:right w:val="nil"/>
            </w:tcBorders>
            <w:shd w:val="clear" w:color="auto" w:fill="auto"/>
            <w:noWrap/>
            <w:vAlign w:val="center"/>
            <w:hideMark/>
          </w:tcPr>
          <w:p w14:paraId="60050706"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INPC (%)</w:t>
            </w:r>
          </w:p>
        </w:tc>
        <w:tc>
          <w:tcPr>
            <w:tcW w:w="1134" w:type="dxa"/>
            <w:tcBorders>
              <w:top w:val="nil"/>
              <w:left w:val="nil"/>
              <w:bottom w:val="nil"/>
              <w:right w:val="nil"/>
            </w:tcBorders>
            <w:shd w:val="clear" w:color="auto" w:fill="auto"/>
            <w:noWrap/>
            <w:vAlign w:val="center"/>
            <w:hideMark/>
          </w:tcPr>
          <w:p w14:paraId="3BEB4DB7" w14:textId="2913A5EA"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2,68</w:t>
            </w:r>
          </w:p>
        </w:tc>
        <w:tc>
          <w:tcPr>
            <w:tcW w:w="1276" w:type="dxa"/>
            <w:tcBorders>
              <w:top w:val="nil"/>
              <w:left w:val="nil"/>
              <w:bottom w:val="nil"/>
              <w:right w:val="nil"/>
            </w:tcBorders>
            <w:shd w:val="clear" w:color="auto" w:fill="auto"/>
            <w:noWrap/>
            <w:vAlign w:val="center"/>
            <w:hideMark/>
          </w:tcPr>
          <w:p w14:paraId="4D114BD5" w14:textId="71D0CA9C"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3,92</w:t>
            </w:r>
          </w:p>
        </w:tc>
      </w:tr>
      <w:tr w:rsidR="00297E43" w:rsidRPr="00297E43" w14:paraId="7745714B" w14:textId="77777777" w:rsidTr="006872C4">
        <w:trPr>
          <w:trHeight w:val="300"/>
          <w:jc w:val="center"/>
        </w:trPr>
        <w:tc>
          <w:tcPr>
            <w:tcW w:w="2977" w:type="dxa"/>
            <w:tcBorders>
              <w:top w:val="nil"/>
              <w:left w:val="nil"/>
              <w:bottom w:val="nil"/>
              <w:right w:val="nil"/>
            </w:tcBorders>
            <w:shd w:val="clear" w:color="EDEDED" w:fill="EDEDED"/>
            <w:noWrap/>
            <w:vAlign w:val="center"/>
            <w:hideMark/>
          </w:tcPr>
          <w:p w14:paraId="5C3BE1FF"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IGP-M (%)</w:t>
            </w:r>
          </w:p>
        </w:tc>
        <w:tc>
          <w:tcPr>
            <w:tcW w:w="1134" w:type="dxa"/>
            <w:tcBorders>
              <w:top w:val="nil"/>
              <w:left w:val="nil"/>
              <w:bottom w:val="nil"/>
              <w:right w:val="nil"/>
            </w:tcBorders>
            <w:shd w:val="clear" w:color="EDEDED" w:fill="EDEDED"/>
            <w:noWrap/>
            <w:vAlign w:val="center"/>
            <w:hideMark/>
          </w:tcPr>
          <w:p w14:paraId="0059DA11" w14:textId="71F9C33F"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5,09</w:t>
            </w:r>
          </w:p>
        </w:tc>
        <w:tc>
          <w:tcPr>
            <w:tcW w:w="1276" w:type="dxa"/>
            <w:tcBorders>
              <w:top w:val="nil"/>
              <w:left w:val="nil"/>
              <w:bottom w:val="nil"/>
              <w:right w:val="nil"/>
            </w:tcBorders>
            <w:shd w:val="clear" w:color="EDEDED" w:fill="EDEDED"/>
            <w:noWrap/>
            <w:vAlign w:val="center"/>
            <w:hideMark/>
          </w:tcPr>
          <w:p w14:paraId="120F7D45" w14:textId="15C43C67"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4,06</w:t>
            </w:r>
          </w:p>
        </w:tc>
      </w:tr>
      <w:tr w:rsidR="00297E43" w:rsidRPr="00297E43" w14:paraId="4BCC6A5A" w14:textId="77777777" w:rsidTr="006872C4">
        <w:trPr>
          <w:trHeight w:val="300"/>
          <w:jc w:val="center"/>
        </w:trPr>
        <w:tc>
          <w:tcPr>
            <w:tcW w:w="2977" w:type="dxa"/>
            <w:tcBorders>
              <w:top w:val="nil"/>
              <w:left w:val="nil"/>
              <w:bottom w:val="nil"/>
              <w:right w:val="nil"/>
            </w:tcBorders>
            <w:shd w:val="clear" w:color="auto" w:fill="auto"/>
            <w:noWrap/>
            <w:vAlign w:val="center"/>
            <w:hideMark/>
          </w:tcPr>
          <w:p w14:paraId="3E183F6A"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Taxa de Câmbio (R$/US$)</w:t>
            </w:r>
          </w:p>
        </w:tc>
        <w:tc>
          <w:tcPr>
            <w:tcW w:w="1134" w:type="dxa"/>
            <w:tcBorders>
              <w:top w:val="nil"/>
              <w:left w:val="nil"/>
              <w:bottom w:val="nil"/>
              <w:right w:val="nil"/>
            </w:tcBorders>
            <w:shd w:val="clear" w:color="auto" w:fill="auto"/>
            <w:noWrap/>
            <w:vAlign w:val="center"/>
            <w:hideMark/>
          </w:tcPr>
          <w:p w14:paraId="4345AA96" w14:textId="244E0047"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3,95</w:t>
            </w:r>
          </w:p>
        </w:tc>
        <w:tc>
          <w:tcPr>
            <w:tcW w:w="1276" w:type="dxa"/>
            <w:tcBorders>
              <w:top w:val="nil"/>
              <w:left w:val="nil"/>
              <w:bottom w:val="nil"/>
              <w:right w:val="nil"/>
            </w:tcBorders>
            <w:shd w:val="clear" w:color="auto" w:fill="auto"/>
            <w:noWrap/>
            <w:vAlign w:val="center"/>
            <w:hideMark/>
          </w:tcPr>
          <w:p w14:paraId="62AE179A" w14:textId="5F6D7ADC"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3,90</w:t>
            </w:r>
          </w:p>
        </w:tc>
      </w:tr>
      <w:tr w:rsidR="00297E43" w:rsidRPr="00297E43" w14:paraId="22805EFA" w14:textId="77777777" w:rsidTr="006872C4">
        <w:trPr>
          <w:trHeight w:val="300"/>
          <w:jc w:val="center"/>
        </w:trPr>
        <w:tc>
          <w:tcPr>
            <w:tcW w:w="2977" w:type="dxa"/>
            <w:tcBorders>
              <w:top w:val="nil"/>
              <w:left w:val="nil"/>
              <w:bottom w:val="nil"/>
              <w:right w:val="nil"/>
            </w:tcBorders>
            <w:shd w:val="clear" w:color="EDEDED" w:fill="EDEDED"/>
            <w:noWrap/>
            <w:vAlign w:val="center"/>
            <w:hideMark/>
          </w:tcPr>
          <w:p w14:paraId="7C18DEC0"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Meta Taxa Selic (%a.a.)</w:t>
            </w:r>
          </w:p>
        </w:tc>
        <w:tc>
          <w:tcPr>
            <w:tcW w:w="1134" w:type="dxa"/>
            <w:tcBorders>
              <w:top w:val="nil"/>
              <w:left w:val="nil"/>
              <w:bottom w:val="nil"/>
              <w:right w:val="nil"/>
            </w:tcBorders>
            <w:shd w:val="clear" w:color="EDEDED" w:fill="EDEDED"/>
            <w:noWrap/>
            <w:vAlign w:val="center"/>
            <w:hideMark/>
          </w:tcPr>
          <w:p w14:paraId="612666B5" w14:textId="060F2650"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5,00</w:t>
            </w:r>
          </w:p>
        </w:tc>
        <w:tc>
          <w:tcPr>
            <w:tcW w:w="1276" w:type="dxa"/>
            <w:tcBorders>
              <w:top w:val="nil"/>
              <w:left w:val="nil"/>
              <w:bottom w:val="nil"/>
              <w:right w:val="nil"/>
            </w:tcBorders>
            <w:shd w:val="clear" w:color="EDEDED" w:fill="EDEDED"/>
            <w:noWrap/>
            <w:vAlign w:val="center"/>
            <w:hideMark/>
          </w:tcPr>
          <w:p w14:paraId="193F0A71" w14:textId="0E3D7D1E"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5,00</w:t>
            </w:r>
          </w:p>
        </w:tc>
      </w:tr>
      <w:tr w:rsidR="00297E43" w:rsidRPr="00297E43" w14:paraId="06C78B3F" w14:textId="77777777" w:rsidTr="006872C4">
        <w:trPr>
          <w:trHeight w:val="300"/>
          <w:jc w:val="center"/>
        </w:trPr>
        <w:tc>
          <w:tcPr>
            <w:tcW w:w="2977" w:type="dxa"/>
            <w:tcBorders>
              <w:top w:val="nil"/>
              <w:left w:val="nil"/>
              <w:bottom w:val="nil"/>
              <w:right w:val="nil"/>
            </w:tcBorders>
            <w:shd w:val="clear" w:color="auto" w:fill="auto"/>
            <w:noWrap/>
            <w:vAlign w:val="center"/>
            <w:hideMark/>
          </w:tcPr>
          <w:p w14:paraId="31C87310"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Investimentos Direto no País (US$ bilhões)</w:t>
            </w:r>
          </w:p>
        </w:tc>
        <w:tc>
          <w:tcPr>
            <w:tcW w:w="1134" w:type="dxa"/>
            <w:tcBorders>
              <w:top w:val="nil"/>
              <w:left w:val="nil"/>
              <w:bottom w:val="nil"/>
              <w:right w:val="nil"/>
            </w:tcBorders>
            <w:shd w:val="clear" w:color="auto" w:fill="auto"/>
            <w:noWrap/>
            <w:vAlign w:val="center"/>
            <w:hideMark/>
          </w:tcPr>
          <w:p w14:paraId="71F30945" w14:textId="67F5A842"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85,00</w:t>
            </w:r>
          </w:p>
        </w:tc>
        <w:tc>
          <w:tcPr>
            <w:tcW w:w="1276" w:type="dxa"/>
            <w:tcBorders>
              <w:top w:val="nil"/>
              <w:left w:val="nil"/>
              <w:bottom w:val="nil"/>
              <w:right w:val="nil"/>
            </w:tcBorders>
            <w:shd w:val="clear" w:color="auto" w:fill="auto"/>
            <w:noWrap/>
            <w:vAlign w:val="center"/>
            <w:hideMark/>
          </w:tcPr>
          <w:p w14:paraId="13B7A1D1" w14:textId="5644ED4D"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85,00</w:t>
            </w:r>
          </w:p>
        </w:tc>
      </w:tr>
      <w:tr w:rsidR="00297E43" w:rsidRPr="00297E43" w14:paraId="25307B55" w14:textId="77777777" w:rsidTr="006872C4">
        <w:trPr>
          <w:trHeight w:val="300"/>
          <w:jc w:val="center"/>
        </w:trPr>
        <w:tc>
          <w:tcPr>
            <w:tcW w:w="2977" w:type="dxa"/>
            <w:tcBorders>
              <w:top w:val="nil"/>
              <w:left w:val="nil"/>
              <w:bottom w:val="nil"/>
              <w:right w:val="nil"/>
            </w:tcBorders>
            <w:shd w:val="clear" w:color="EDEDED" w:fill="EDEDED"/>
            <w:noWrap/>
            <w:vAlign w:val="center"/>
            <w:hideMark/>
          </w:tcPr>
          <w:p w14:paraId="3035ABD5"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Dívida Líquida do Setor Público (% do PIB)</w:t>
            </w:r>
          </w:p>
        </w:tc>
        <w:tc>
          <w:tcPr>
            <w:tcW w:w="1134" w:type="dxa"/>
            <w:tcBorders>
              <w:top w:val="nil"/>
              <w:left w:val="nil"/>
              <w:bottom w:val="nil"/>
              <w:right w:val="nil"/>
            </w:tcBorders>
            <w:shd w:val="clear" w:color="EDEDED" w:fill="EDEDED"/>
            <w:noWrap/>
            <w:vAlign w:val="center"/>
            <w:hideMark/>
          </w:tcPr>
          <w:p w14:paraId="160DC9D9" w14:textId="2D509072"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56,05</w:t>
            </w:r>
          </w:p>
        </w:tc>
        <w:tc>
          <w:tcPr>
            <w:tcW w:w="1276" w:type="dxa"/>
            <w:tcBorders>
              <w:top w:val="nil"/>
              <w:left w:val="nil"/>
              <w:bottom w:val="nil"/>
              <w:right w:val="nil"/>
            </w:tcBorders>
            <w:shd w:val="clear" w:color="EDEDED" w:fill="EDEDED"/>
            <w:noWrap/>
            <w:vAlign w:val="center"/>
            <w:hideMark/>
          </w:tcPr>
          <w:p w14:paraId="2A05378A" w14:textId="06C2275B"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58,00</w:t>
            </w:r>
          </w:p>
        </w:tc>
      </w:tr>
      <w:tr w:rsidR="00297E43" w:rsidRPr="00297E43" w14:paraId="112B9B80" w14:textId="77777777" w:rsidTr="006872C4">
        <w:trPr>
          <w:trHeight w:val="300"/>
          <w:jc w:val="center"/>
        </w:trPr>
        <w:tc>
          <w:tcPr>
            <w:tcW w:w="2977" w:type="dxa"/>
            <w:tcBorders>
              <w:top w:val="nil"/>
              <w:left w:val="nil"/>
              <w:bottom w:val="nil"/>
              <w:right w:val="nil"/>
            </w:tcBorders>
            <w:shd w:val="clear" w:color="auto" w:fill="auto"/>
            <w:noWrap/>
            <w:vAlign w:val="center"/>
            <w:hideMark/>
          </w:tcPr>
          <w:p w14:paraId="4FF82952"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PIB (% do crescimento)</w:t>
            </w:r>
          </w:p>
        </w:tc>
        <w:tc>
          <w:tcPr>
            <w:tcW w:w="1134" w:type="dxa"/>
            <w:tcBorders>
              <w:top w:val="nil"/>
              <w:left w:val="nil"/>
              <w:bottom w:val="nil"/>
              <w:right w:val="nil"/>
            </w:tcBorders>
            <w:shd w:val="clear" w:color="auto" w:fill="auto"/>
            <w:noWrap/>
            <w:vAlign w:val="center"/>
            <w:hideMark/>
          </w:tcPr>
          <w:p w14:paraId="7E560687" w14:textId="616C7B8A"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0,87</w:t>
            </w:r>
          </w:p>
        </w:tc>
        <w:tc>
          <w:tcPr>
            <w:tcW w:w="1276" w:type="dxa"/>
            <w:tcBorders>
              <w:top w:val="nil"/>
              <w:left w:val="nil"/>
              <w:bottom w:val="nil"/>
              <w:right w:val="nil"/>
            </w:tcBorders>
            <w:shd w:val="clear" w:color="auto" w:fill="auto"/>
            <w:noWrap/>
            <w:vAlign w:val="center"/>
            <w:hideMark/>
          </w:tcPr>
          <w:p w14:paraId="45455DC8" w14:textId="19CC40CA"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2,00</w:t>
            </w:r>
          </w:p>
        </w:tc>
      </w:tr>
      <w:tr w:rsidR="00297E43" w:rsidRPr="00297E43" w14:paraId="47DE5A62" w14:textId="77777777" w:rsidTr="006872C4">
        <w:trPr>
          <w:trHeight w:val="300"/>
          <w:jc w:val="center"/>
        </w:trPr>
        <w:tc>
          <w:tcPr>
            <w:tcW w:w="2977" w:type="dxa"/>
            <w:tcBorders>
              <w:top w:val="nil"/>
              <w:left w:val="nil"/>
              <w:bottom w:val="nil"/>
              <w:right w:val="nil"/>
            </w:tcBorders>
            <w:shd w:val="clear" w:color="EDEDED" w:fill="EDEDED"/>
            <w:noWrap/>
            <w:vAlign w:val="center"/>
            <w:hideMark/>
          </w:tcPr>
          <w:p w14:paraId="50F928CF" w14:textId="77777777" w:rsidR="00F30D58" w:rsidRPr="00297E43" w:rsidRDefault="00F30D58"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Produção Industrial (% do crescimento)</w:t>
            </w:r>
          </w:p>
        </w:tc>
        <w:tc>
          <w:tcPr>
            <w:tcW w:w="1134" w:type="dxa"/>
            <w:tcBorders>
              <w:top w:val="nil"/>
              <w:left w:val="nil"/>
              <w:bottom w:val="nil"/>
              <w:right w:val="nil"/>
            </w:tcBorders>
            <w:shd w:val="clear" w:color="EDEDED" w:fill="EDEDED"/>
            <w:noWrap/>
            <w:vAlign w:val="center"/>
            <w:hideMark/>
          </w:tcPr>
          <w:p w14:paraId="019F6698" w14:textId="4BDE4F30"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-0,53</w:t>
            </w:r>
          </w:p>
        </w:tc>
        <w:tc>
          <w:tcPr>
            <w:tcW w:w="1276" w:type="dxa"/>
            <w:tcBorders>
              <w:top w:val="nil"/>
              <w:left w:val="nil"/>
              <w:bottom w:val="nil"/>
              <w:right w:val="nil"/>
            </w:tcBorders>
            <w:shd w:val="clear" w:color="EDEDED" w:fill="EDEDED"/>
            <w:noWrap/>
            <w:vAlign w:val="center"/>
            <w:hideMark/>
          </w:tcPr>
          <w:p w14:paraId="5B2F7D14" w14:textId="2A90BB0E"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2,29</w:t>
            </w:r>
          </w:p>
        </w:tc>
      </w:tr>
      <w:tr w:rsidR="00297E43" w:rsidRPr="00297E43" w14:paraId="6E6DA651" w14:textId="77777777" w:rsidTr="006872C4">
        <w:trPr>
          <w:trHeight w:val="300"/>
          <w:jc w:val="center"/>
        </w:trPr>
        <w:tc>
          <w:tcPr>
            <w:tcW w:w="2977" w:type="dxa"/>
            <w:tcBorders>
              <w:top w:val="nil"/>
              <w:left w:val="nil"/>
              <w:bottom w:val="single" w:sz="4" w:space="0" w:color="A5A5A5"/>
              <w:right w:val="nil"/>
            </w:tcBorders>
            <w:shd w:val="clear" w:color="auto" w:fill="auto"/>
            <w:noWrap/>
            <w:vAlign w:val="center"/>
            <w:hideMark/>
          </w:tcPr>
          <w:p w14:paraId="383E390B" w14:textId="6126FCEB" w:rsidR="00F30D58" w:rsidRPr="00297E43" w:rsidRDefault="006872C4" w:rsidP="006872C4">
            <w:pPr>
              <w:spacing w:after="0" w:line="240" w:lineRule="auto"/>
              <w:jc w:val="left"/>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Balança comercial</w:t>
            </w:r>
            <w:r w:rsidR="00F30D58" w:rsidRPr="00297E43">
              <w:rPr>
                <w:rFonts w:ascii="Calibri" w:eastAsia="Times New Roman" w:hAnsi="Calibri" w:cs="Times New Roman"/>
                <w:color w:val="auto"/>
                <w:sz w:val="14"/>
                <w:lang w:eastAsia="pt-BR"/>
              </w:rPr>
              <w:t xml:space="preserve"> (US$ Bilhões)</w:t>
            </w:r>
          </w:p>
        </w:tc>
        <w:tc>
          <w:tcPr>
            <w:tcW w:w="1134" w:type="dxa"/>
            <w:tcBorders>
              <w:top w:val="nil"/>
              <w:left w:val="nil"/>
              <w:bottom w:val="single" w:sz="4" w:space="0" w:color="A5A5A5"/>
              <w:right w:val="nil"/>
            </w:tcBorders>
            <w:shd w:val="clear" w:color="auto" w:fill="auto"/>
            <w:noWrap/>
            <w:vAlign w:val="center"/>
            <w:hideMark/>
          </w:tcPr>
          <w:p w14:paraId="461F33DC" w14:textId="0D64E107"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51,95</w:t>
            </w:r>
          </w:p>
        </w:tc>
        <w:tc>
          <w:tcPr>
            <w:tcW w:w="1276" w:type="dxa"/>
            <w:tcBorders>
              <w:top w:val="nil"/>
              <w:left w:val="nil"/>
              <w:bottom w:val="single" w:sz="4" w:space="0" w:color="A5A5A5"/>
              <w:right w:val="nil"/>
            </w:tcBorders>
            <w:shd w:val="clear" w:color="auto" w:fill="auto"/>
            <w:noWrap/>
            <w:vAlign w:val="center"/>
            <w:hideMark/>
          </w:tcPr>
          <w:p w14:paraId="36156919" w14:textId="72199452" w:rsidR="00F30D58" w:rsidRPr="00297E43" w:rsidRDefault="00F30D58" w:rsidP="006872C4">
            <w:pPr>
              <w:spacing w:after="0" w:line="240" w:lineRule="auto"/>
              <w:jc w:val="center"/>
              <w:rPr>
                <w:rFonts w:ascii="Calibri" w:eastAsia="Times New Roman" w:hAnsi="Calibri" w:cs="Times New Roman"/>
                <w:color w:val="auto"/>
                <w:sz w:val="14"/>
                <w:lang w:eastAsia="pt-BR"/>
              </w:rPr>
            </w:pPr>
            <w:r w:rsidRPr="00297E43">
              <w:rPr>
                <w:rFonts w:ascii="Calibri" w:eastAsia="Times New Roman" w:hAnsi="Calibri" w:cs="Times New Roman"/>
                <w:color w:val="auto"/>
                <w:sz w:val="14"/>
                <w:lang w:eastAsia="pt-BR"/>
              </w:rPr>
              <w:t>48,10</w:t>
            </w:r>
          </w:p>
        </w:tc>
      </w:tr>
    </w:tbl>
    <w:p w14:paraId="7E51AF84" w14:textId="18629015" w:rsidR="008A4E7D" w:rsidRPr="00297E43" w:rsidRDefault="006872C4" w:rsidP="006872C4">
      <w:pPr>
        <w:ind w:left="1416"/>
        <w:rPr>
          <w:color w:val="auto"/>
          <w:sz w:val="12"/>
        </w:rPr>
      </w:pPr>
      <w:r w:rsidRPr="00297E43">
        <w:rPr>
          <w:color w:val="auto"/>
          <w:sz w:val="12"/>
        </w:rPr>
        <w:t xml:space="preserve">                https://www.bcb.gov.br/content/focus/focus/R20190920.pdf (2019.09_20)</w:t>
      </w:r>
    </w:p>
    <w:p w14:paraId="3DC947F7" w14:textId="12610BA8" w:rsidR="00BA3136" w:rsidRPr="00297E43" w:rsidRDefault="00BA3136">
      <w:pPr>
        <w:rPr>
          <w:bCs/>
          <w:color w:val="auto"/>
          <w:szCs w:val="20"/>
        </w:rPr>
      </w:pPr>
      <w:bookmarkStart w:id="59" w:name="_Toc435202741"/>
      <w:r w:rsidRPr="00297E43">
        <w:rPr>
          <w:bCs/>
          <w:color w:val="auto"/>
          <w:szCs w:val="20"/>
        </w:rPr>
        <w:br w:type="page"/>
      </w:r>
    </w:p>
    <w:p w14:paraId="6DDAB621" w14:textId="77777777" w:rsidR="006B0FB7" w:rsidRPr="00297E43" w:rsidRDefault="006B0FB7" w:rsidP="006B0FB7">
      <w:pPr>
        <w:pStyle w:val="Ttulo1"/>
        <w:rPr>
          <w:color w:val="auto"/>
        </w:rPr>
      </w:pPr>
      <w:bookmarkStart w:id="60" w:name="_Toc490036546"/>
      <w:bookmarkStart w:id="61" w:name="_Toc20130597"/>
      <w:r w:rsidRPr="00297E43">
        <w:rPr>
          <w:color w:val="auto"/>
        </w:rPr>
        <w:lastRenderedPageBreak/>
        <w:t>ALOCAÇÃO ESTRATÉGICA DOS RECURSOS</w:t>
      </w:r>
      <w:bookmarkEnd w:id="59"/>
      <w:bookmarkEnd w:id="60"/>
      <w:bookmarkEnd w:id="61"/>
    </w:p>
    <w:p w14:paraId="7A8A034D" w14:textId="16323CE0" w:rsidR="006B0FB7" w:rsidRPr="00297E43" w:rsidRDefault="006B0FB7" w:rsidP="006B0FB7">
      <w:pPr>
        <w:spacing w:beforeLines="120" w:before="288" w:after="0" w:line="240" w:lineRule="auto"/>
        <w:rPr>
          <w:bCs/>
          <w:color w:val="auto"/>
          <w:szCs w:val="20"/>
        </w:rPr>
      </w:pPr>
      <w:r w:rsidRPr="00297E43">
        <w:rPr>
          <w:bCs/>
          <w:color w:val="auto"/>
          <w:szCs w:val="20"/>
        </w:rPr>
        <w:t>Na aplicação dos recursos, os responsáveis pela gestão do RPPS devem observar os limites estabelecidos por esta Política de Investimentos e pe</w:t>
      </w:r>
      <w:r w:rsidR="000A54AE" w:rsidRPr="00297E43">
        <w:rPr>
          <w:bCs/>
          <w:color w:val="auto"/>
          <w:szCs w:val="20"/>
        </w:rPr>
        <w:t>la Resolução CMN nº 3.922/2010.</w:t>
      </w:r>
    </w:p>
    <w:p w14:paraId="66639C7E" w14:textId="49D8DE27" w:rsidR="00F14991" w:rsidRPr="00297E43" w:rsidRDefault="00AF0FB3" w:rsidP="006B0FB7">
      <w:pPr>
        <w:spacing w:beforeLines="120" w:before="288" w:after="0" w:line="240" w:lineRule="auto"/>
        <w:rPr>
          <w:bCs/>
          <w:color w:val="auto"/>
          <w:szCs w:val="20"/>
        </w:rPr>
      </w:pPr>
      <w:r w:rsidRPr="00297E43">
        <w:rPr>
          <w:bCs/>
          <w:color w:val="auto"/>
          <w:szCs w:val="20"/>
        </w:rPr>
        <w:t>A estratégia de alocação para os próximos cinco anos, leva em consideração não somente o cenário macroeconômico como também as especificidades da estratégia definida pelo resultado da análise do fluxo de caixa atuarial e as projeções futuras de déficit e/ou superávit.</w:t>
      </w:r>
    </w:p>
    <w:p w14:paraId="1FCF669F" w14:textId="77777777" w:rsidR="00F14991" w:rsidRPr="00297E43" w:rsidRDefault="00F14991">
      <w:pPr>
        <w:jc w:val="left"/>
        <w:rPr>
          <w:bCs/>
          <w:color w:val="auto"/>
          <w:szCs w:val="20"/>
        </w:rPr>
      </w:pPr>
      <w:r w:rsidRPr="00297E43">
        <w:rPr>
          <w:bCs/>
          <w:color w:val="auto"/>
          <w:szCs w:val="20"/>
        </w:rPr>
        <w:br w:type="page"/>
      </w:r>
    </w:p>
    <w:p w14:paraId="1BAD8FCB" w14:textId="63CE71A5" w:rsidR="006B0FB7" w:rsidRPr="00297E43" w:rsidRDefault="006B0FB7" w:rsidP="006B0FB7">
      <w:pPr>
        <w:spacing w:beforeLines="120" w:before="288" w:after="0" w:line="240" w:lineRule="auto"/>
        <w:jc w:val="center"/>
        <w:rPr>
          <w:b/>
          <w:bCs/>
          <w:color w:val="auto"/>
          <w:szCs w:val="20"/>
        </w:rPr>
      </w:pPr>
      <w:r w:rsidRPr="00297E43">
        <w:rPr>
          <w:b/>
          <w:bCs/>
          <w:color w:val="auto"/>
          <w:szCs w:val="20"/>
        </w:rPr>
        <w:lastRenderedPageBreak/>
        <w:t xml:space="preserve">Alocação Estratégica para o exercício de </w:t>
      </w:r>
      <w:r w:rsidR="00524D7B" w:rsidRPr="00297E43">
        <w:rPr>
          <w:b/>
          <w:bCs/>
          <w:color w:val="auto"/>
          <w:szCs w:val="20"/>
        </w:rPr>
        <w:t>2020</w:t>
      </w:r>
    </w:p>
    <w:tbl>
      <w:tblPr>
        <w:tblW w:w="9154" w:type="dxa"/>
        <w:tblCellMar>
          <w:left w:w="70" w:type="dxa"/>
          <w:right w:w="70" w:type="dxa"/>
        </w:tblCellMar>
        <w:tblLook w:val="04A0" w:firstRow="1" w:lastRow="0" w:firstColumn="1" w:lastColumn="0" w:noHBand="0" w:noVBand="1"/>
      </w:tblPr>
      <w:tblGrid>
        <w:gridCol w:w="855"/>
        <w:gridCol w:w="3285"/>
        <w:gridCol w:w="760"/>
        <w:gridCol w:w="1106"/>
        <w:gridCol w:w="933"/>
        <w:gridCol w:w="146"/>
        <w:gridCol w:w="712"/>
        <w:gridCol w:w="695"/>
        <w:gridCol w:w="662"/>
      </w:tblGrid>
      <w:tr w:rsidR="00297E43" w:rsidRPr="00297E43" w14:paraId="0BD7F5C4" w14:textId="77777777" w:rsidTr="00F14991">
        <w:trPr>
          <w:trHeight w:val="555"/>
        </w:trPr>
        <w:tc>
          <w:tcPr>
            <w:tcW w:w="0" w:type="auto"/>
            <w:tcBorders>
              <w:top w:val="nil"/>
              <w:left w:val="nil"/>
              <w:bottom w:val="nil"/>
              <w:right w:val="nil"/>
            </w:tcBorders>
            <w:shd w:val="clear" w:color="auto" w:fill="auto"/>
            <w:noWrap/>
            <w:vAlign w:val="bottom"/>
            <w:hideMark/>
          </w:tcPr>
          <w:p w14:paraId="06BD24FA"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4"/>
                <w:lang w:eastAsia="pt-BR"/>
              </w:rPr>
            </w:pPr>
          </w:p>
        </w:tc>
        <w:tc>
          <w:tcPr>
            <w:tcW w:w="0" w:type="auto"/>
            <w:tcBorders>
              <w:top w:val="nil"/>
              <w:left w:val="nil"/>
              <w:bottom w:val="nil"/>
              <w:right w:val="nil"/>
            </w:tcBorders>
            <w:shd w:val="clear" w:color="auto" w:fill="auto"/>
            <w:noWrap/>
            <w:vAlign w:val="bottom"/>
            <w:hideMark/>
          </w:tcPr>
          <w:p w14:paraId="214049FD"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0"/>
                <w:lang w:eastAsia="pt-BR"/>
              </w:rPr>
            </w:pPr>
          </w:p>
        </w:tc>
        <w:tc>
          <w:tcPr>
            <w:tcW w:w="760" w:type="dxa"/>
            <w:tcBorders>
              <w:top w:val="nil"/>
              <w:left w:val="nil"/>
              <w:bottom w:val="nil"/>
              <w:right w:val="nil"/>
            </w:tcBorders>
            <w:shd w:val="clear" w:color="auto" w:fill="auto"/>
            <w:noWrap/>
            <w:vAlign w:val="bottom"/>
            <w:hideMark/>
          </w:tcPr>
          <w:p w14:paraId="3A63271B"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0"/>
                <w:lang w:eastAsia="pt-BR"/>
              </w:rPr>
            </w:pPr>
          </w:p>
        </w:tc>
        <w:tc>
          <w:tcPr>
            <w:tcW w:w="1106" w:type="dxa"/>
            <w:tcBorders>
              <w:top w:val="nil"/>
              <w:left w:val="nil"/>
              <w:bottom w:val="nil"/>
              <w:right w:val="nil"/>
            </w:tcBorders>
            <w:shd w:val="clear" w:color="auto" w:fill="auto"/>
            <w:noWrap/>
            <w:vAlign w:val="bottom"/>
            <w:hideMark/>
          </w:tcPr>
          <w:p w14:paraId="08E0197E"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0"/>
                <w:lang w:eastAsia="pt-BR"/>
              </w:rPr>
            </w:pPr>
          </w:p>
        </w:tc>
        <w:tc>
          <w:tcPr>
            <w:tcW w:w="0" w:type="auto"/>
            <w:tcBorders>
              <w:top w:val="nil"/>
              <w:left w:val="nil"/>
              <w:bottom w:val="nil"/>
              <w:right w:val="nil"/>
            </w:tcBorders>
            <w:shd w:val="clear" w:color="auto" w:fill="auto"/>
            <w:noWrap/>
            <w:vAlign w:val="bottom"/>
            <w:hideMark/>
          </w:tcPr>
          <w:p w14:paraId="183EB2B8"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0"/>
                <w:lang w:eastAsia="pt-BR"/>
              </w:rPr>
            </w:pPr>
          </w:p>
        </w:tc>
        <w:tc>
          <w:tcPr>
            <w:tcW w:w="0" w:type="auto"/>
            <w:tcBorders>
              <w:top w:val="nil"/>
              <w:left w:val="nil"/>
              <w:bottom w:val="nil"/>
              <w:right w:val="nil"/>
            </w:tcBorders>
            <w:shd w:val="clear" w:color="auto" w:fill="auto"/>
            <w:noWrap/>
            <w:vAlign w:val="bottom"/>
            <w:hideMark/>
          </w:tcPr>
          <w:p w14:paraId="385AFC4F" w14:textId="77777777" w:rsidR="00CE760E" w:rsidRPr="00297E43" w:rsidRDefault="00CE760E" w:rsidP="00CE760E">
            <w:pPr>
              <w:spacing w:after="0" w:line="240" w:lineRule="auto"/>
              <w:jc w:val="left"/>
              <w:rPr>
                <w:rFonts w:ascii="Times New Roman" w:eastAsia="Times New Roman" w:hAnsi="Times New Roman" w:cs="Times New Roman"/>
                <w:color w:val="auto"/>
                <w:sz w:val="10"/>
                <w:szCs w:val="20"/>
                <w:lang w:eastAsia="pt-BR"/>
              </w:rPr>
            </w:pPr>
          </w:p>
        </w:tc>
        <w:tc>
          <w:tcPr>
            <w:tcW w:w="2069"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58E36C6"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Estratégia de Alocação - Política de Investimento de 2020</w:t>
            </w:r>
          </w:p>
        </w:tc>
      </w:tr>
      <w:tr w:rsidR="00297E43" w:rsidRPr="00297E43" w14:paraId="3823E888" w14:textId="77777777" w:rsidTr="00F14991">
        <w:trPr>
          <w:trHeight w:val="549"/>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76FC1DA4" w14:textId="77777777" w:rsidR="00CE760E" w:rsidRPr="00297E43" w:rsidRDefault="00CE760E" w:rsidP="00CE760E">
            <w:pPr>
              <w:spacing w:after="0" w:line="240" w:lineRule="auto"/>
              <w:jc w:val="center"/>
              <w:rPr>
                <w:rFonts w:ascii="Calibri" w:eastAsia="Times New Roman" w:hAnsi="Calibri" w:cs="Times New Roman"/>
                <w:b/>
                <w:bCs/>
                <w:color w:val="auto"/>
                <w:sz w:val="10"/>
                <w:szCs w:val="18"/>
                <w:lang w:eastAsia="pt-BR"/>
              </w:rPr>
            </w:pPr>
            <w:r w:rsidRPr="00297E43">
              <w:rPr>
                <w:rFonts w:ascii="Calibri" w:eastAsia="Times New Roman" w:hAnsi="Calibri" w:cs="Times New Roman"/>
                <w:b/>
                <w:bCs/>
                <w:color w:val="auto"/>
                <w:sz w:val="10"/>
                <w:szCs w:val="18"/>
                <w:lang w:eastAsia="pt-BR"/>
              </w:rPr>
              <w:t>Segmento</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10A1AAF"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Tipo de Ativo</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3BAE7A06"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Limite da Resolução CMN %</w:t>
            </w:r>
          </w:p>
        </w:tc>
        <w:tc>
          <w:tcPr>
            <w:tcW w:w="1106" w:type="dxa"/>
            <w:tcBorders>
              <w:top w:val="single" w:sz="8" w:space="0" w:color="auto"/>
              <w:left w:val="nil"/>
              <w:bottom w:val="single" w:sz="8" w:space="0" w:color="auto"/>
              <w:right w:val="single" w:sz="4" w:space="0" w:color="auto"/>
            </w:tcBorders>
            <w:shd w:val="clear" w:color="000000" w:fill="D9D9D9"/>
            <w:vAlign w:val="center"/>
            <w:hideMark/>
          </w:tcPr>
          <w:p w14:paraId="2F8C18D7"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Posição Atual da Carteira (R$) - XX/XX</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2CA1AFB9"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Posição Atual da Carteira (%) - XX/XX</w:t>
            </w:r>
          </w:p>
        </w:tc>
        <w:tc>
          <w:tcPr>
            <w:tcW w:w="0" w:type="auto"/>
            <w:tcBorders>
              <w:top w:val="nil"/>
              <w:left w:val="nil"/>
              <w:bottom w:val="nil"/>
              <w:right w:val="nil"/>
            </w:tcBorders>
            <w:shd w:val="clear" w:color="auto" w:fill="auto"/>
            <w:vAlign w:val="center"/>
            <w:hideMark/>
          </w:tcPr>
          <w:p w14:paraId="51DF07D9"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p>
        </w:tc>
        <w:tc>
          <w:tcPr>
            <w:tcW w:w="712" w:type="dxa"/>
            <w:tcBorders>
              <w:top w:val="nil"/>
              <w:left w:val="single" w:sz="8" w:space="0" w:color="auto"/>
              <w:bottom w:val="single" w:sz="8" w:space="0" w:color="auto"/>
              <w:right w:val="single" w:sz="4" w:space="0" w:color="auto"/>
            </w:tcBorders>
            <w:shd w:val="clear" w:color="000000" w:fill="D9D9D9"/>
            <w:vAlign w:val="center"/>
            <w:hideMark/>
          </w:tcPr>
          <w:p w14:paraId="743D0026"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Limite Inferior (%)</w:t>
            </w:r>
          </w:p>
        </w:tc>
        <w:tc>
          <w:tcPr>
            <w:tcW w:w="0" w:type="auto"/>
            <w:tcBorders>
              <w:top w:val="nil"/>
              <w:left w:val="nil"/>
              <w:bottom w:val="single" w:sz="8" w:space="0" w:color="auto"/>
              <w:right w:val="single" w:sz="4" w:space="0" w:color="auto"/>
            </w:tcBorders>
            <w:shd w:val="clear" w:color="000000" w:fill="D9D9D9"/>
            <w:vAlign w:val="center"/>
            <w:hideMark/>
          </w:tcPr>
          <w:p w14:paraId="633B965B"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Estratégia Alvo (%)</w:t>
            </w:r>
          </w:p>
        </w:tc>
        <w:tc>
          <w:tcPr>
            <w:tcW w:w="0" w:type="auto"/>
            <w:tcBorders>
              <w:top w:val="nil"/>
              <w:left w:val="nil"/>
              <w:bottom w:val="single" w:sz="8" w:space="0" w:color="auto"/>
              <w:right w:val="single" w:sz="8" w:space="0" w:color="auto"/>
            </w:tcBorders>
            <w:shd w:val="clear" w:color="000000" w:fill="D9D9D9"/>
            <w:vAlign w:val="center"/>
            <w:hideMark/>
          </w:tcPr>
          <w:p w14:paraId="00041846" w14:textId="77777777" w:rsidR="00CE760E" w:rsidRPr="00297E43" w:rsidRDefault="00CE760E" w:rsidP="00CE760E">
            <w:pPr>
              <w:spacing w:after="0" w:line="240" w:lineRule="auto"/>
              <w:jc w:val="center"/>
              <w:rPr>
                <w:rFonts w:ascii="Calibri" w:eastAsia="Times New Roman" w:hAnsi="Calibri" w:cs="Times New Roman"/>
                <w:b/>
                <w:bCs/>
                <w:color w:val="auto"/>
                <w:sz w:val="10"/>
                <w:szCs w:val="16"/>
                <w:lang w:eastAsia="pt-BR"/>
              </w:rPr>
            </w:pPr>
            <w:r w:rsidRPr="00297E43">
              <w:rPr>
                <w:rFonts w:ascii="Calibri" w:eastAsia="Times New Roman" w:hAnsi="Calibri" w:cs="Times New Roman"/>
                <w:b/>
                <w:bCs/>
                <w:color w:val="auto"/>
                <w:sz w:val="10"/>
                <w:szCs w:val="16"/>
                <w:lang w:eastAsia="pt-BR"/>
              </w:rPr>
              <w:t>Limite Superior (%)</w:t>
            </w:r>
          </w:p>
        </w:tc>
      </w:tr>
      <w:tr w:rsidR="00297E43" w:rsidRPr="00297E43" w14:paraId="72536BED" w14:textId="77777777" w:rsidTr="00F14991">
        <w:trPr>
          <w:trHeight w:val="300"/>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49C7E9A" w14:textId="77777777" w:rsidR="00CE760E" w:rsidRPr="00297E43" w:rsidRDefault="00CE760E" w:rsidP="00CE760E">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Renda Fixa</w:t>
            </w:r>
          </w:p>
        </w:tc>
        <w:tc>
          <w:tcPr>
            <w:tcW w:w="0" w:type="auto"/>
            <w:tcBorders>
              <w:top w:val="nil"/>
              <w:left w:val="nil"/>
              <w:bottom w:val="single" w:sz="4" w:space="0" w:color="auto"/>
              <w:right w:val="single" w:sz="4" w:space="0" w:color="auto"/>
            </w:tcBorders>
            <w:shd w:val="clear" w:color="auto" w:fill="auto"/>
            <w:noWrap/>
            <w:vAlign w:val="center"/>
            <w:hideMark/>
          </w:tcPr>
          <w:p w14:paraId="12B1AF71"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Títulos Públicos de emissão do TN – Art. 7º, I, “a”</w:t>
            </w:r>
          </w:p>
        </w:tc>
        <w:tc>
          <w:tcPr>
            <w:tcW w:w="760" w:type="dxa"/>
            <w:tcBorders>
              <w:top w:val="nil"/>
              <w:left w:val="nil"/>
              <w:bottom w:val="single" w:sz="4" w:space="0" w:color="auto"/>
              <w:right w:val="single" w:sz="8" w:space="0" w:color="auto"/>
            </w:tcBorders>
            <w:shd w:val="clear" w:color="auto" w:fill="auto"/>
            <w:noWrap/>
            <w:vAlign w:val="center"/>
            <w:hideMark/>
          </w:tcPr>
          <w:p w14:paraId="45A43F31"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100,00%</w:t>
            </w:r>
          </w:p>
        </w:tc>
        <w:tc>
          <w:tcPr>
            <w:tcW w:w="1106" w:type="dxa"/>
            <w:tcBorders>
              <w:top w:val="nil"/>
              <w:left w:val="nil"/>
              <w:bottom w:val="single" w:sz="4" w:space="0" w:color="auto"/>
              <w:right w:val="single" w:sz="4" w:space="0" w:color="auto"/>
            </w:tcBorders>
            <w:shd w:val="clear" w:color="auto" w:fill="auto"/>
            <w:noWrap/>
            <w:vAlign w:val="center"/>
          </w:tcPr>
          <w:p w14:paraId="49191D08" w14:textId="4C767FF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3.967.165,32</w:t>
            </w:r>
          </w:p>
        </w:tc>
        <w:tc>
          <w:tcPr>
            <w:tcW w:w="0" w:type="auto"/>
            <w:tcBorders>
              <w:top w:val="nil"/>
              <w:left w:val="nil"/>
              <w:bottom w:val="single" w:sz="4" w:space="0" w:color="auto"/>
              <w:right w:val="single" w:sz="8" w:space="0" w:color="auto"/>
            </w:tcBorders>
            <w:shd w:val="clear" w:color="auto" w:fill="auto"/>
            <w:noWrap/>
            <w:vAlign w:val="center"/>
          </w:tcPr>
          <w:p w14:paraId="637B9AC3" w14:textId="2AF63B06"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7,10</w:t>
            </w:r>
          </w:p>
        </w:tc>
        <w:tc>
          <w:tcPr>
            <w:tcW w:w="0" w:type="auto"/>
            <w:tcBorders>
              <w:top w:val="nil"/>
              <w:left w:val="nil"/>
              <w:bottom w:val="nil"/>
              <w:right w:val="nil"/>
            </w:tcBorders>
            <w:shd w:val="clear" w:color="auto" w:fill="auto"/>
            <w:noWrap/>
            <w:vAlign w:val="center"/>
          </w:tcPr>
          <w:p w14:paraId="17ED2966"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0059D984" w14:textId="66B439C3"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11FA5DEB" w14:textId="02ACEBAD"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0" w:type="auto"/>
            <w:tcBorders>
              <w:top w:val="nil"/>
              <w:left w:val="nil"/>
              <w:bottom w:val="single" w:sz="4" w:space="0" w:color="auto"/>
              <w:right w:val="single" w:sz="8" w:space="0" w:color="auto"/>
            </w:tcBorders>
            <w:shd w:val="clear" w:color="000000" w:fill="F2F2F2"/>
            <w:noWrap/>
            <w:vAlign w:val="center"/>
          </w:tcPr>
          <w:p w14:paraId="4CF1C65B" w14:textId="7A27AE41"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r>
      <w:tr w:rsidR="00297E43" w:rsidRPr="00297E43" w14:paraId="3184A621"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605179"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5B22317F"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100% títulos TN - Art. 7º, I, "b"</w:t>
            </w:r>
          </w:p>
        </w:tc>
        <w:tc>
          <w:tcPr>
            <w:tcW w:w="760" w:type="dxa"/>
            <w:tcBorders>
              <w:top w:val="nil"/>
              <w:left w:val="nil"/>
              <w:bottom w:val="single" w:sz="4" w:space="0" w:color="auto"/>
              <w:right w:val="single" w:sz="8" w:space="0" w:color="auto"/>
            </w:tcBorders>
            <w:shd w:val="clear" w:color="auto" w:fill="auto"/>
            <w:noWrap/>
            <w:vAlign w:val="center"/>
            <w:hideMark/>
          </w:tcPr>
          <w:p w14:paraId="49D1CB39"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100,00%</w:t>
            </w:r>
          </w:p>
        </w:tc>
        <w:tc>
          <w:tcPr>
            <w:tcW w:w="1106" w:type="dxa"/>
            <w:tcBorders>
              <w:top w:val="nil"/>
              <w:left w:val="nil"/>
              <w:bottom w:val="single" w:sz="4" w:space="0" w:color="auto"/>
              <w:right w:val="single" w:sz="4" w:space="0" w:color="auto"/>
            </w:tcBorders>
            <w:shd w:val="clear" w:color="auto" w:fill="auto"/>
            <w:noWrap/>
            <w:vAlign w:val="center"/>
          </w:tcPr>
          <w:p w14:paraId="106E2DBD" w14:textId="231CD52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27.756.110,53</w:t>
            </w:r>
          </w:p>
        </w:tc>
        <w:tc>
          <w:tcPr>
            <w:tcW w:w="0" w:type="auto"/>
            <w:tcBorders>
              <w:top w:val="nil"/>
              <w:left w:val="nil"/>
              <w:bottom w:val="single" w:sz="4" w:space="0" w:color="auto"/>
              <w:right w:val="single" w:sz="8" w:space="0" w:color="auto"/>
            </w:tcBorders>
            <w:shd w:val="clear" w:color="auto" w:fill="auto"/>
            <w:noWrap/>
            <w:vAlign w:val="center"/>
          </w:tcPr>
          <w:p w14:paraId="6DDD71F1" w14:textId="3301F09C"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49,70</w:t>
            </w:r>
          </w:p>
        </w:tc>
        <w:tc>
          <w:tcPr>
            <w:tcW w:w="0" w:type="auto"/>
            <w:tcBorders>
              <w:top w:val="nil"/>
              <w:left w:val="nil"/>
              <w:bottom w:val="nil"/>
              <w:right w:val="nil"/>
            </w:tcBorders>
            <w:shd w:val="clear" w:color="auto" w:fill="auto"/>
            <w:noWrap/>
            <w:vAlign w:val="center"/>
          </w:tcPr>
          <w:p w14:paraId="636912ED"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5107E8FC" w14:textId="0E05CBFF"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15,00</w:t>
            </w:r>
          </w:p>
        </w:tc>
        <w:tc>
          <w:tcPr>
            <w:tcW w:w="0" w:type="auto"/>
            <w:tcBorders>
              <w:top w:val="nil"/>
              <w:left w:val="nil"/>
              <w:bottom w:val="single" w:sz="4" w:space="0" w:color="auto"/>
              <w:right w:val="single" w:sz="4" w:space="0" w:color="auto"/>
            </w:tcBorders>
            <w:shd w:val="clear" w:color="000000" w:fill="F2F2F2"/>
            <w:noWrap/>
            <w:vAlign w:val="center"/>
          </w:tcPr>
          <w:p w14:paraId="3781F20D" w14:textId="5610D683"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20,00</w:t>
            </w:r>
          </w:p>
        </w:tc>
        <w:tc>
          <w:tcPr>
            <w:tcW w:w="0" w:type="auto"/>
            <w:tcBorders>
              <w:top w:val="nil"/>
              <w:left w:val="nil"/>
              <w:bottom w:val="single" w:sz="4" w:space="0" w:color="auto"/>
              <w:right w:val="single" w:sz="8" w:space="0" w:color="auto"/>
            </w:tcBorders>
            <w:shd w:val="clear" w:color="000000" w:fill="F2F2F2"/>
            <w:noWrap/>
            <w:vAlign w:val="center"/>
          </w:tcPr>
          <w:p w14:paraId="0F2FA2C9" w14:textId="6EC0F1A6"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100,00</w:t>
            </w:r>
          </w:p>
        </w:tc>
      </w:tr>
      <w:tr w:rsidR="00297E43" w:rsidRPr="00297E43" w14:paraId="63936796"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48E600CD"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3AB996E2"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- 100% Títulos Públicos - Art. 7°, I "c"</w:t>
            </w:r>
          </w:p>
        </w:tc>
        <w:tc>
          <w:tcPr>
            <w:tcW w:w="760" w:type="dxa"/>
            <w:tcBorders>
              <w:top w:val="nil"/>
              <w:left w:val="nil"/>
              <w:bottom w:val="single" w:sz="4" w:space="0" w:color="auto"/>
              <w:right w:val="single" w:sz="8" w:space="0" w:color="auto"/>
            </w:tcBorders>
            <w:shd w:val="clear" w:color="auto" w:fill="auto"/>
            <w:noWrap/>
            <w:vAlign w:val="center"/>
            <w:hideMark/>
          </w:tcPr>
          <w:p w14:paraId="7CDE30D8"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100,00%</w:t>
            </w:r>
          </w:p>
        </w:tc>
        <w:tc>
          <w:tcPr>
            <w:tcW w:w="1106" w:type="dxa"/>
            <w:tcBorders>
              <w:top w:val="nil"/>
              <w:left w:val="nil"/>
              <w:bottom w:val="single" w:sz="4" w:space="0" w:color="auto"/>
              <w:right w:val="single" w:sz="4" w:space="0" w:color="auto"/>
            </w:tcBorders>
            <w:shd w:val="clear" w:color="auto" w:fill="auto"/>
            <w:noWrap/>
            <w:vAlign w:val="center"/>
          </w:tcPr>
          <w:p w14:paraId="7304B904" w14:textId="77F9B7DE"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173AB3AF" w14:textId="64C1E365"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420C0356"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61E8CE03" w14:textId="71805ECD"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3B3425C7" w14:textId="089C5BF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5A9A1138" w14:textId="12B0182E"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061F2DD3"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28F9C1F5"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10928D07"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Operações Compromissadas - Art. 7º, II</w:t>
            </w:r>
          </w:p>
        </w:tc>
        <w:tc>
          <w:tcPr>
            <w:tcW w:w="760" w:type="dxa"/>
            <w:tcBorders>
              <w:top w:val="nil"/>
              <w:left w:val="nil"/>
              <w:bottom w:val="single" w:sz="4" w:space="0" w:color="auto"/>
              <w:right w:val="single" w:sz="8" w:space="0" w:color="auto"/>
            </w:tcBorders>
            <w:shd w:val="clear" w:color="auto" w:fill="auto"/>
            <w:noWrap/>
            <w:vAlign w:val="center"/>
            <w:hideMark/>
          </w:tcPr>
          <w:p w14:paraId="613901C9"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single" w:sz="4" w:space="0" w:color="auto"/>
              <w:right w:val="single" w:sz="4" w:space="0" w:color="auto"/>
            </w:tcBorders>
            <w:shd w:val="clear" w:color="auto" w:fill="auto"/>
            <w:noWrap/>
            <w:vAlign w:val="center"/>
          </w:tcPr>
          <w:p w14:paraId="6306575B" w14:textId="420FB4D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05522803" w14:textId="6F86155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3BD5A86C"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0EAB0CF5" w14:textId="14D94DB0"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531CBEB0" w14:textId="3ADEEA8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10CC3BCF" w14:textId="7D3D7C85"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71F57177"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752D9EE9"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723657BD"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Renda Fixa "Referenciado" - Art. 7º, III, Alínea “a”</w:t>
            </w:r>
          </w:p>
        </w:tc>
        <w:tc>
          <w:tcPr>
            <w:tcW w:w="760" w:type="dxa"/>
            <w:tcBorders>
              <w:top w:val="nil"/>
              <w:left w:val="nil"/>
              <w:bottom w:val="single" w:sz="4" w:space="0" w:color="auto"/>
              <w:right w:val="single" w:sz="8" w:space="0" w:color="auto"/>
            </w:tcBorders>
            <w:shd w:val="clear" w:color="auto" w:fill="auto"/>
            <w:noWrap/>
            <w:vAlign w:val="center"/>
            <w:hideMark/>
          </w:tcPr>
          <w:p w14:paraId="29D0DAAF"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60,00%</w:t>
            </w:r>
          </w:p>
        </w:tc>
        <w:tc>
          <w:tcPr>
            <w:tcW w:w="1106" w:type="dxa"/>
            <w:tcBorders>
              <w:top w:val="nil"/>
              <w:left w:val="nil"/>
              <w:bottom w:val="single" w:sz="4" w:space="0" w:color="auto"/>
              <w:right w:val="single" w:sz="4" w:space="0" w:color="auto"/>
            </w:tcBorders>
            <w:shd w:val="clear" w:color="auto" w:fill="auto"/>
            <w:noWrap/>
            <w:vAlign w:val="center"/>
          </w:tcPr>
          <w:p w14:paraId="4C622A24" w14:textId="6F9952E0"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6CF77440" w14:textId="510D9E0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6C33BEE6"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182F5CF1" w14:textId="56C30D51"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0" w:type="auto"/>
            <w:tcBorders>
              <w:top w:val="nil"/>
              <w:left w:val="nil"/>
              <w:bottom w:val="single" w:sz="4" w:space="0" w:color="auto"/>
              <w:right w:val="single" w:sz="4" w:space="0" w:color="auto"/>
            </w:tcBorders>
            <w:shd w:val="clear" w:color="000000" w:fill="F2F2F2"/>
            <w:noWrap/>
            <w:vAlign w:val="center"/>
          </w:tcPr>
          <w:p w14:paraId="6C0D45DE" w14:textId="7E9656FD"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0" w:type="auto"/>
            <w:tcBorders>
              <w:top w:val="nil"/>
              <w:left w:val="nil"/>
              <w:bottom w:val="single" w:sz="4" w:space="0" w:color="auto"/>
              <w:right w:val="single" w:sz="8" w:space="0" w:color="auto"/>
            </w:tcBorders>
            <w:shd w:val="clear" w:color="000000" w:fill="F2F2F2"/>
            <w:noWrap/>
            <w:vAlign w:val="center"/>
          </w:tcPr>
          <w:p w14:paraId="543E37F4" w14:textId="5F3EF966"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60,00</w:t>
            </w:r>
          </w:p>
        </w:tc>
      </w:tr>
      <w:tr w:rsidR="00297E43" w:rsidRPr="00297E43" w14:paraId="3386C4CA"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700EDCA9"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0534381C"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Renda Fixa "Referenciado" - Art. 7º, III, Alínea “b”</w:t>
            </w:r>
          </w:p>
        </w:tc>
        <w:tc>
          <w:tcPr>
            <w:tcW w:w="760" w:type="dxa"/>
            <w:tcBorders>
              <w:top w:val="nil"/>
              <w:left w:val="nil"/>
              <w:bottom w:val="single" w:sz="4" w:space="0" w:color="auto"/>
              <w:right w:val="single" w:sz="8" w:space="0" w:color="auto"/>
            </w:tcBorders>
            <w:shd w:val="clear" w:color="auto" w:fill="auto"/>
            <w:noWrap/>
            <w:vAlign w:val="center"/>
            <w:hideMark/>
          </w:tcPr>
          <w:p w14:paraId="3F592F4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60,00%</w:t>
            </w:r>
          </w:p>
        </w:tc>
        <w:tc>
          <w:tcPr>
            <w:tcW w:w="1106" w:type="dxa"/>
            <w:tcBorders>
              <w:top w:val="nil"/>
              <w:left w:val="nil"/>
              <w:bottom w:val="single" w:sz="4" w:space="0" w:color="auto"/>
              <w:right w:val="single" w:sz="4" w:space="0" w:color="auto"/>
            </w:tcBorders>
            <w:shd w:val="clear" w:color="auto" w:fill="auto"/>
            <w:noWrap/>
            <w:vAlign w:val="center"/>
          </w:tcPr>
          <w:p w14:paraId="5B76F3CE" w14:textId="680D531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7D741733" w14:textId="243BE56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69AAF8E9"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5F1BE65F" w14:textId="27B9F6C0"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4C61C1A6" w14:textId="225B6838"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5D4ECFCD" w14:textId="1274B54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37E65A03"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543840A4"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0D14A375"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Renda Fixa - Geral - Art. 7º, IV, Alínea “a”</w:t>
            </w:r>
          </w:p>
        </w:tc>
        <w:tc>
          <w:tcPr>
            <w:tcW w:w="760" w:type="dxa"/>
            <w:tcBorders>
              <w:top w:val="nil"/>
              <w:left w:val="nil"/>
              <w:bottom w:val="single" w:sz="4" w:space="0" w:color="auto"/>
              <w:right w:val="single" w:sz="8" w:space="0" w:color="auto"/>
            </w:tcBorders>
            <w:shd w:val="clear" w:color="auto" w:fill="auto"/>
            <w:noWrap/>
            <w:vAlign w:val="center"/>
            <w:hideMark/>
          </w:tcPr>
          <w:p w14:paraId="6BCF64BE"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40,00%</w:t>
            </w:r>
          </w:p>
        </w:tc>
        <w:tc>
          <w:tcPr>
            <w:tcW w:w="1106" w:type="dxa"/>
            <w:tcBorders>
              <w:top w:val="nil"/>
              <w:left w:val="nil"/>
              <w:bottom w:val="single" w:sz="4" w:space="0" w:color="auto"/>
              <w:right w:val="single" w:sz="4" w:space="0" w:color="auto"/>
            </w:tcBorders>
            <w:shd w:val="clear" w:color="auto" w:fill="auto"/>
            <w:noWrap/>
            <w:vAlign w:val="center"/>
          </w:tcPr>
          <w:p w14:paraId="0E58B16E" w14:textId="4955EFB2"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16.442.866,19</w:t>
            </w:r>
            <w:r w:rsidRPr="00297E43">
              <w:rPr>
                <w:rFonts w:ascii="Calibri" w:eastAsia="Times New Roman" w:hAnsi="Calibri" w:cs="Times New Roman"/>
                <w:color w:val="auto"/>
                <w:sz w:val="11"/>
                <w:szCs w:val="11"/>
                <w:lang w:eastAsia="pt-BR"/>
              </w:rPr>
              <w:tab/>
            </w:r>
          </w:p>
        </w:tc>
        <w:tc>
          <w:tcPr>
            <w:tcW w:w="0" w:type="auto"/>
            <w:tcBorders>
              <w:top w:val="nil"/>
              <w:left w:val="nil"/>
              <w:bottom w:val="single" w:sz="4" w:space="0" w:color="auto"/>
              <w:right w:val="single" w:sz="8" w:space="0" w:color="auto"/>
            </w:tcBorders>
            <w:shd w:val="clear" w:color="auto" w:fill="auto"/>
            <w:noWrap/>
            <w:vAlign w:val="center"/>
          </w:tcPr>
          <w:p w14:paraId="7B9B8BB8" w14:textId="48EFDC7B"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29,44</w:t>
            </w:r>
          </w:p>
        </w:tc>
        <w:tc>
          <w:tcPr>
            <w:tcW w:w="0" w:type="auto"/>
            <w:tcBorders>
              <w:top w:val="nil"/>
              <w:left w:val="nil"/>
              <w:bottom w:val="nil"/>
              <w:right w:val="nil"/>
            </w:tcBorders>
            <w:shd w:val="clear" w:color="auto" w:fill="auto"/>
            <w:noWrap/>
            <w:vAlign w:val="center"/>
          </w:tcPr>
          <w:p w14:paraId="194C0BFB"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157452A9" w14:textId="52501C8D"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0" w:type="auto"/>
            <w:tcBorders>
              <w:top w:val="nil"/>
              <w:left w:val="nil"/>
              <w:bottom w:val="single" w:sz="4" w:space="0" w:color="auto"/>
              <w:right w:val="single" w:sz="4" w:space="0" w:color="auto"/>
            </w:tcBorders>
            <w:shd w:val="clear" w:color="000000" w:fill="F2F2F2"/>
            <w:noWrap/>
            <w:vAlign w:val="center"/>
          </w:tcPr>
          <w:p w14:paraId="2A93D2E5" w14:textId="1D522A1C"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25,00</w:t>
            </w:r>
          </w:p>
        </w:tc>
        <w:tc>
          <w:tcPr>
            <w:tcW w:w="0" w:type="auto"/>
            <w:tcBorders>
              <w:top w:val="nil"/>
              <w:left w:val="nil"/>
              <w:bottom w:val="single" w:sz="4" w:space="0" w:color="auto"/>
              <w:right w:val="single" w:sz="8" w:space="0" w:color="auto"/>
            </w:tcBorders>
            <w:shd w:val="clear" w:color="000000" w:fill="F2F2F2"/>
            <w:noWrap/>
            <w:vAlign w:val="center"/>
          </w:tcPr>
          <w:p w14:paraId="040E6932" w14:textId="4CF8A66B"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40,00</w:t>
            </w:r>
          </w:p>
        </w:tc>
      </w:tr>
      <w:tr w:rsidR="00297E43" w:rsidRPr="00297E43" w14:paraId="526361A8"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1B17FD6F"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026244B9"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Demais Indicadores de RF - Art. 7º, IV, Alínea “b”</w:t>
            </w:r>
          </w:p>
        </w:tc>
        <w:tc>
          <w:tcPr>
            <w:tcW w:w="760" w:type="dxa"/>
            <w:tcBorders>
              <w:top w:val="nil"/>
              <w:left w:val="nil"/>
              <w:bottom w:val="single" w:sz="4" w:space="0" w:color="auto"/>
              <w:right w:val="single" w:sz="8" w:space="0" w:color="auto"/>
            </w:tcBorders>
            <w:shd w:val="clear" w:color="auto" w:fill="auto"/>
            <w:noWrap/>
            <w:vAlign w:val="center"/>
            <w:hideMark/>
          </w:tcPr>
          <w:p w14:paraId="0EF325EE"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40,00%</w:t>
            </w:r>
          </w:p>
        </w:tc>
        <w:tc>
          <w:tcPr>
            <w:tcW w:w="1106" w:type="dxa"/>
            <w:tcBorders>
              <w:top w:val="nil"/>
              <w:left w:val="nil"/>
              <w:bottom w:val="single" w:sz="4" w:space="0" w:color="auto"/>
              <w:right w:val="single" w:sz="4" w:space="0" w:color="auto"/>
            </w:tcBorders>
            <w:shd w:val="clear" w:color="auto" w:fill="auto"/>
            <w:noWrap/>
            <w:vAlign w:val="center"/>
          </w:tcPr>
          <w:p w14:paraId="2102E233" w14:textId="6F4ABA2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06AC74A1" w14:textId="0B05B7B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2102FD8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0AC446D6" w14:textId="1BD665A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26DE34B8" w14:textId="3BFE0A1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35993A6E" w14:textId="51BC330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2138D24A"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49A63FC0"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09E87ACD"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Letras Imobiliárias Garantidas - Art. 7º, V, Alínea “b”</w:t>
            </w:r>
          </w:p>
        </w:tc>
        <w:tc>
          <w:tcPr>
            <w:tcW w:w="760" w:type="dxa"/>
            <w:tcBorders>
              <w:top w:val="nil"/>
              <w:left w:val="nil"/>
              <w:bottom w:val="single" w:sz="4" w:space="0" w:color="auto"/>
              <w:right w:val="single" w:sz="8" w:space="0" w:color="auto"/>
            </w:tcBorders>
            <w:shd w:val="clear" w:color="auto" w:fill="auto"/>
            <w:noWrap/>
            <w:vAlign w:val="center"/>
            <w:hideMark/>
          </w:tcPr>
          <w:p w14:paraId="36BBB9FA"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20,00%</w:t>
            </w:r>
          </w:p>
        </w:tc>
        <w:tc>
          <w:tcPr>
            <w:tcW w:w="1106" w:type="dxa"/>
            <w:tcBorders>
              <w:top w:val="nil"/>
              <w:left w:val="nil"/>
              <w:bottom w:val="single" w:sz="4" w:space="0" w:color="auto"/>
              <w:right w:val="single" w:sz="4" w:space="0" w:color="auto"/>
            </w:tcBorders>
            <w:shd w:val="clear" w:color="auto" w:fill="auto"/>
            <w:noWrap/>
            <w:vAlign w:val="center"/>
          </w:tcPr>
          <w:p w14:paraId="5ADA8BCD" w14:textId="20D5125D"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0D322B77" w14:textId="221489E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58BA2E99"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799A9086" w14:textId="418EE5D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39A768EE" w14:textId="37D355C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66713CDD" w14:textId="7564D1D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22FED220"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1BE818DB"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320E5756"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CDB - Certificados de Depósitos Bancários - Art. 7º, VI, Alínea "a"</w:t>
            </w:r>
          </w:p>
        </w:tc>
        <w:tc>
          <w:tcPr>
            <w:tcW w:w="760" w:type="dxa"/>
            <w:tcBorders>
              <w:top w:val="nil"/>
              <w:left w:val="nil"/>
              <w:bottom w:val="single" w:sz="4" w:space="0" w:color="auto"/>
              <w:right w:val="single" w:sz="8" w:space="0" w:color="auto"/>
            </w:tcBorders>
            <w:shd w:val="clear" w:color="auto" w:fill="auto"/>
            <w:noWrap/>
            <w:vAlign w:val="center"/>
            <w:hideMark/>
          </w:tcPr>
          <w:p w14:paraId="6B39468C"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15,00%</w:t>
            </w:r>
          </w:p>
        </w:tc>
        <w:tc>
          <w:tcPr>
            <w:tcW w:w="1106" w:type="dxa"/>
            <w:tcBorders>
              <w:top w:val="nil"/>
              <w:left w:val="nil"/>
              <w:bottom w:val="single" w:sz="4" w:space="0" w:color="auto"/>
              <w:right w:val="single" w:sz="4" w:space="0" w:color="auto"/>
            </w:tcBorders>
            <w:shd w:val="clear" w:color="auto" w:fill="auto"/>
            <w:noWrap/>
            <w:vAlign w:val="center"/>
          </w:tcPr>
          <w:p w14:paraId="0F544D91" w14:textId="292E2E50"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30306BF3" w14:textId="260B06B5"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4CAA0C90"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32B0CE80" w14:textId="0DA24A5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43EEC457" w14:textId="28317D5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39EF0E27" w14:textId="70271595"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15,00</w:t>
            </w:r>
          </w:p>
        </w:tc>
      </w:tr>
      <w:tr w:rsidR="00297E43" w:rsidRPr="00297E43" w14:paraId="6DB3A1C8"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24CFD4F1"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5428E7AF"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Poupança - Art. 7º, VI, Alínea "b"</w:t>
            </w:r>
          </w:p>
        </w:tc>
        <w:tc>
          <w:tcPr>
            <w:tcW w:w="760" w:type="dxa"/>
            <w:tcBorders>
              <w:top w:val="nil"/>
              <w:left w:val="nil"/>
              <w:bottom w:val="single" w:sz="4" w:space="0" w:color="auto"/>
              <w:right w:val="single" w:sz="8" w:space="0" w:color="auto"/>
            </w:tcBorders>
            <w:shd w:val="clear" w:color="auto" w:fill="auto"/>
            <w:noWrap/>
            <w:vAlign w:val="center"/>
            <w:hideMark/>
          </w:tcPr>
          <w:p w14:paraId="404CFF0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15,00%</w:t>
            </w:r>
          </w:p>
        </w:tc>
        <w:tc>
          <w:tcPr>
            <w:tcW w:w="1106" w:type="dxa"/>
            <w:tcBorders>
              <w:top w:val="nil"/>
              <w:left w:val="nil"/>
              <w:bottom w:val="single" w:sz="4" w:space="0" w:color="auto"/>
              <w:right w:val="single" w:sz="4" w:space="0" w:color="auto"/>
            </w:tcBorders>
            <w:shd w:val="clear" w:color="auto" w:fill="auto"/>
            <w:noWrap/>
            <w:vAlign w:val="center"/>
          </w:tcPr>
          <w:p w14:paraId="64DFF925" w14:textId="6BB37333"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7F65DF39" w14:textId="290D212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0231854C"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40D36430" w14:textId="4C3F0770"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08B76C65" w14:textId="63AF042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7FC618D5" w14:textId="100D277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12782C14"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1F525FFB"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3638F06F"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Direitos Creditórios - Cota Sênior Art. 7º, VII, "a"</w:t>
            </w:r>
          </w:p>
        </w:tc>
        <w:tc>
          <w:tcPr>
            <w:tcW w:w="760" w:type="dxa"/>
            <w:tcBorders>
              <w:top w:val="nil"/>
              <w:left w:val="nil"/>
              <w:bottom w:val="single" w:sz="4" w:space="0" w:color="auto"/>
              <w:right w:val="single" w:sz="8" w:space="0" w:color="auto"/>
            </w:tcBorders>
            <w:shd w:val="clear" w:color="auto" w:fill="auto"/>
            <w:noWrap/>
            <w:vAlign w:val="center"/>
            <w:hideMark/>
          </w:tcPr>
          <w:p w14:paraId="416C9A68"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single" w:sz="4" w:space="0" w:color="auto"/>
              <w:right w:val="single" w:sz="4" w:space="0" w:color="auto"/>
            </w:tcBorders>
            <w:shd w:val="clear" w:color="auto" w:fill="auto"/>
            <w:noWrap/>
            <w:vAlign w:val="center"/>
          </w:tcPr>
          <w:p w14:paraId="7E6C5794" w14:textId="11975677"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4.004.970,15</w:t>
            </w:r>
          </w:p>
        </w:tc>
        <w:tc>
          <w:tcPr>
            <w:tcW w:w="0" w:type="auto"/>
            <w:tcBorders>
              <w:top w:val="nil"/>
              <w:left w:val="nil"/>
              <w:bottom w:val="single" w:sz="4" w:space="0" w:color="auto"/>
              <w:right w:val="single" w:sz="8" w:space="0" w:color="auto"/>
            </w:tcBorders>
            <w:shd w:val="clear" w:color="auto" w:fill="auto"/>
            <w:noWrap/>
            <w:vAlign w:val="center"/>
          </w:tcPr>
          <w:p w14:paraId="1D68B3C4" w14:textId="11CE881B"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7,17</w:t>
            </w:r>
          </w:p>
        </w:tc>
        <w:tc>
          <w:tcPr>
            <w:tcW w:w="0" w:type="auto"/>
            <w:tcBorders>
              <w:top w:val="nil"/>
              <w:left w:val="nil"/>
              <w:bottom w:val="nil"/>
              <w:right w:val="nil"/>
            </w:tcBorders>
            <w:shd w:val="clear" w:color="auto" w:fill="auto"/>
            <w:noWrap/>
            <w:vAlign w:val="center"/>
          </w:tcPr>
          <w:p w14:paraId="54C5285D"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2AAA6089" w14:textId="2F3317E4"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w:t>
            </w:r>
          </w:p>
        </w:tc>
        <w:tc>
          <w:tcPr>
            <w:tcW w:w="0" w:type="auto"/>
            <w:tcBorders>
              <w:top w:val="nil"/>
              <w:left w:val="nil"/>
              <w:bottom w:val="single" w:sz="4" w:space="0" w:color="auto"/>
              <w:right w:val="single" w:sz="4" w:space="0" w:color="auto"/>
            </w:tcBorders>
            <w:shd w:val="clear" w:color="000000" w:fill="F2F2F2"/>
            <w:noWrap/>
            <w:vAlign w:val="center"/>
          </w:tcPr>
          <w:p w14:paraId="65463F0F" w14:textId="3D4ABF1C"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0" w:type="auto"/>
            <w:tcBorders>
              <w:top w:val="nil"/>
              <w:left w:val="nil"/>
              <w:bottom w:val="single" w:sz="4" w:space="0" w:color="auto"/>
              <w:right w:val="single" w:sz="8" w:space="0" w:color="auto"/>
            </w:tcBorders>
            <w:shd w:val="clear" w:color="000000" w:fill="F2F2F2"/>
            <w:noWrap/>
            <w:vAlign w:val="center"/>
          </w:tcPr>
          <w:p w14:paraId="52EE13BD" w14:textId="3AA5B88B"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r>
      <w:tr w:rsidR="00297E43" w:rsidRPr="00297E43" w14:paraId="382FD45A" w14:textId="77777777" w:rsidTr="00F14991">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3FBCC1"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53390883"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Renda Fixa "Crédito Privado"- Art. 7º, VII, "b"</w:t>
            </w:r>
          </w:p>
        </w:tc>
        <w:tc>
          <w:tcPr>
            <w:tcW w:w="760" w:type="dxa"/>
            <w:tcBorders>
              <w:top w:val="nil"/>
              <w:left w:val="nil"/>
              <w:bottom w:val="single" w:sz="4" w:space="0" w:color="auto"/>
              <w:right w:val="single" w:sz="8" w:space="0" w:color="auto"/>
            </w:tcBorders>
            <w:shd w:val="clear" w:color="auto" w:fill="auto"/>
            <w:noWrap/>
            <w:vAlign w:val="center"/>
            <w:hideMark/>
          </w:tcPr>
          <w:p w14:paraId="4E085F9B"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single" w:sz="4" w:space="0" w:color="auto"/>
              <w:right w:val="single" w:sz="4" w:space="0" w:color="auto"/>
            </w:tcBorders>
            <w:shd w:val="clear" w:color="auto" w:fill="auto"/>
            <w:noWrap/>
            <w:vAlign w:val="center"/>
          </w:tcPr>
          <w:p w14:paraId="3248AB3B" w14:textId="0858CCD5"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19.901,07</w:t>
            </w:r>
          </w:p>
        </w:tc>
        <w:tc>
          <w:tcPr>
            <w:tcW w:w="0" w:type="auto"/>
            <w:tcBorders>
              <w:top w:val="nil"/>
              <w:left w:val="nil"/>
              <w:bottom w:val="single" w:sz="4" w:space="0" w:color="auto"/>
              <w:right w:val="single" w:sz="8" w:space="0" w:color="auto"/>
            </w:tcBorders>
            <w:shd w:val="clear" w:color="auto" w:fill="auto"/>
            <w:noWrap/>
            <w:vAlign w:val="center"/>
          </w:tcPr>
          <w:p w14:paraId="28DDBBD2" w14:textId="5BF12A6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0,04</w:t>
            </w:r>
          </w:p>
        </w:tc>
        <w:tc>
          <w:tcPr>
            <w:tcW w:w="0" w:type="auto"/>
            <w:tcBorders>
              <w:top w:val="nil"/>
              <w:left w:val="nil"/>
              <w:bottom w:val="nil"/>
              <w:right w:val="nil"/>
            </w:tcBorders>
            <w:shd w:val="clear" w:color="auto" w:fill="auto"/>
            <w:noWrap/>
            <w:vAlign w:val="center"/>
          </w:tcPr>
          <w:p w14:paraId="5D7B2268"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57E3D5AF" w14:textId="40077B95"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5A89759C" w14:textId="49DD50F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6671D61C" w14:textId="15277FB3"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r>
      <w:tr w:rsidR="00297E43" w:rsidRPr="00297E43" w14:paraId="739D7A38" w14:textId="77777777" w:rsidTr="00F14991">
        <w:trPr>
          <w:trHeight w:val="315"/>
        </w:trPr>
        <w:tc>
          <w:tcPr>
            <w:tcW w:w="0" w:type="auto"/>
            <w:vMerge/>
            <w:tcBorders>
              <w:top w:val="nil"/>
              <w:left w:val="single" w:sz="8" w:space="0" w:color="auto"/>
              <w:bottom w:val="single" w:sz="8" w:space="0" w:color="000000"/>
              <w:right w:val="single" w:sz="8" w:space="0" w:color="auto"/>
            </w:tcBorders>
            <w:vAlign w:val="center"/>
            <w:hideMark/>
          </w:tcPr>
          <w:p w14:paraId="1DF254EB"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8" w:space="0" w:color="auto"/>
              <w:right w:val="single" w:sz="4" w:space="0" w:color="auto"/>
            </w:tcBorders>
            <w:shd w:val="clear" w:color="auto" w:fill="auto"/>
            <w:noWrap/>
            <w:vAlign w:val="center"/>
            <w:hideMark/>
          </w:tcPr>
          <w:p w14:paraId="74B07523"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Debêntures de Infraestrutura - Art. 7º, VII, "c"</w:t>
            </w:r>
          </w:p>
        </w:tc>
        <w:tc>
          <w:tcPr>
            <w:tcW w:w="760" w:type="dxa"/>
            <w:tcBorders>
              <w:top w:val="nil"/>
              <w:left w:val="nil"/>
              <w:bottom w:val="single" w:sz="8" w:space="0" w:color="auto"/>
              <w:right w:val="single" w:sz="8" w:space="0" w:color="auto"/>
            </w:tcBorders>
            <w:shd w:val="clear" w:color="auto" w:fill="auto"/>
            <w:noWrap/>
            <w:vAlign w:val="center"/>
            <w:hideMark/>
          </w:tcPr>
          <w:p w14:paraId="308AC1A4"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single" w:sz="8" w:space="0" w:color="auto"/>
              <w:right w:val="single" w:sz="4" w:space="0" w:color="auto"/>
            </w:tcBorders>
            <w:shd w:val="clear" w:color="auto" w:fill="auto"/>
            <w:noWrap/>
            <w:vAlign w:val="center"/>
          </w:tcPr>
          <w:p w14:paraId="56338938" w14:textId="41EBDE6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8" w:space="0" w:color="auto"/>
              <w:right w:val="single" w:sz="8" w:space="0" w:color="auto"/>
            </w:tcBorders>
            <w:shd w:val="clear" w:color="auto" w:fill="auto"/>
            <w:noWrap/>
            <w:vAlign w:val="center"/>
          </w:tcPr>
          <w:p w14:paraId="1223FE9E" w14:textId="1A62B038"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09EB9BA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8" w:space="0" w:color="auto"/>
              <w:right w:val="single" w:sz="4" w:space="0" w:color="auto"/>
            </w:tcBorders>
            <w:shd w:val="clear" w:color="000000" w:fill="F2F2F2"/>
            <w:noWrap/>
            <w:vAlign w:val="center"/>
          </w:tcPr>
          <w:p w14:paraId="2EBE8472" w14:textId="2CFA538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8" w:space="0" w:color="auto"/>
              <w:right w:val="single" w:sz="4" w:space="0" w:color="auto"/>
            </w:tcBorders>
            <w:shd w:val="clear" w:color="000000" w:fill="F2F2F2"/>
            <w:noWrap/>
            <w:vAlign w:val="center"/>
          </w:tcPr>
          <w:p w14:paraId="5DEBE726" w14:textId="7A51BE3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8" w:space="0" w:color="auto"/>
              <w:right w:val="single" w:sz="8" w:space="0" w:color="auto"/>
            </w:tcBorders>
            <w:shd w:val="clear" w:color="000000" w:fill="F2F2F2"/>
            <w:noWrap/>
            <w:vAlign w:val="center"/>
          </w:tcPr>
          <w:p w14:paraId="3E0F7F90" w14:textId="3FD25A77"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r>
      <w:tr w:rsidR="00297E43" w:rsidRPr="00297E43" w14:paraId="58E321F3" w14:textId="77777777" w:rsidTr="00F14991">
        <w:trPr>
          <w:trHeight w:val="315"/>
        </w:trPr>
        <w:tc>
          <w:tcPr>
            <w:tcW w:w="0" w:type="auto"/>
            <w:tcBorders>
              <w:top w:val="nil"/>
              <w:left w:val="nil"/>
              <w:bottom w:val="nil"/>
              <w:right w:val="nil"/>
            </w:tcBorders>
            <w:shd w:val="clear" w:color="auto" w:fill="auto"/>
            <w:vAlign w:val="center"/>
            <w:hideMark/>
          </w:tcPr>
          <w:p w14:paraId="7B66BE69" w14:textId="77777777" w:rsidR="00CE760E" w:rsidRPr="00297E43" w:rsidRDefault="00CE760E" w:rsidP="00CE760E">
            <w:pPr>
              <w:spacing w:after="0" w:line="240" w:lineRule="auto"/>
              <w:jc w:val="center"/>
              <w:rPr>
                <w:rFonts w:ascii="Calibri" w:eastAsia="Times New Roman" w:hAnsi="Calibri" w:cs="Times New Roman"/>
                <w:color w:val="auto"/>
                <w:sz w:val="12"/>
                <w:szCs w:val="16"/>
                <w:lang w:eastAsia="pt-BR"/>
              </w:rPr>
            </w:pPr>
          </w:p>
        </w:tc>
        <w:tc>
          <w:tcPr>
            <w:tcW w:w="0" w:type="auto"/>
            <w:tcBorders>
              <w:top w:val="nil"/>
              <w:left w:val="single" w:sz="8" w:space="0" w:color="auto"/>
              <w:bottom w:val="single" w:sz="8" w:space="0" w:color="auto"/>
              <w:right w:val="single" w:sz="4" w:space="0" w:color="auto"/>
            </w:tcBorders>
            <w:shd w:val="clear" w:color="000000" w:fill="D9D9D9"/>
            <w:noWrap/>
            <w:vAlign w:val="center"/>
            <w:hideMark/>
          </w:tcPr>
          <w:p w14:paraId="2FA3BCF4" w14:textId="77777777" w:rsidR="00CE760E" w:rsidRPr="00297E43" w:rsidRDefault="00CE760E" w:rsidP="00CE760E">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 xml:space="preserve">Limite de Renda Fixa </w:t>
            </w:r>
          </w:p>
        </w:tc>
        <w:tc>
          <w:tcPr>
            <w:tcW w:w="760" w:type="dxa"/>
            <w:tcBorders>
              <w:top w:val="nil"/>
              <w:left w:val="nil"/>
              <w:bottom w:val="single" w:sz="8" w:space="0" w:color="auto"/>
              <w:right w:val="single" w:sz="8" w:space="0" w:color="auto"/>
            </w:tcBorders>
            <w:shd w:val="clear" w:color="000000" w:fill="D9D9D9"/>
            <w:noWrap/>
            <w:vAlign w:val="center"/>
            <w:hideMark/>
          </w:tcPr>
          <w:p w14:paraId="3794AB64" w14:textId="77777777"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100,00%</w:t>
            </w:r>
          </w:p>
        </w:tc>
        <w:tc>
          <w:tcPr>
            <w:tcW w:w="1106" w:type="dxa"/>
            <w:tcBorders>
              <w:top w:val="nil"/>
              <w:left w:val="nil"/>
              <w:bottom w:val="single" w:sz="8" w:space="0" w:color="auto"/>
              <w:right w:val="single" w:sz="4" w:space="0" w:color="auto"/>
            </w:tcBorders>
            <w:shd w:val="clear" w:color="000000" w:fill="D9D9D9"/>
            <w:noWrap/>
            <w:vAlign w:val="center"/>
          </w:tcPr>
          <w:p w14:paraId="5D7FF17F" w14:textId="297CD27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52.191.013,26</w:t>
            </w:r>
            <w:r w:rsidRPr="00297E43">
              <w:rPr>
                <w:rFonts w:ascii="Calibri" w:eastAsia="Times New Roman" w:hAnsi="Calibri" w:cs="Times New Roman"/>
                <w:color w:val="auto"/>
                <w:sz w:val="11"/>
                <w:szCs w:val="11"/>
                <w:lang w:eastAsia="pt-BR"/>
              </w:rPr>
              <w:tab/>
            </w:r>
          </w:p>
        </w:tc>
        <w:tc>
          <w:tcPr>
            <w:tcW w:w="0" w:type="auto"/>
            <w:tcBorders>
              <w:top w:val="nil"/>
              <w:left w:val="nil"/>
              <w:bottom w:val="single" w:sz="8" w:space="0" w:color="auto"/>
              <w:right w:val="single" w:sz="8" w:space="0" w:color="auto"/>
            </w:tcBorders>
            <w:shd w:val="clear" w:color="000000" w:fill="D9D9D9"/>
            <w:noWrap/>
            <w:vAlign w:val="center"/>
          </w:tcPr>
          <w:p w14:paraId="10606AA2" w14:textId="253DA77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93,45</w:t>
            </w:r>
          </w:p>
        </w:tc>
        <w:tc>
          <w:tcPr>
            <w:tcW w:w="0" w:type="auto"/>
            <w:tcBorders>
              <w:top w:val="nil"/>
              <w:left w:val="nil"/>
              <w:bottom w:val="nil"/>
              <w:right w:val="nil"/>
            </w:tcBorders>
            <w:shd w:val="clear" w:color="auto" w:fill="auto"/>
            <w:noWrap/>
            <w:vAlign w:val="center"/>
          </w:tcPr>
          <w:p w14:paraId="5DE785FE"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8" w:space="0" w:color="auto"/>
              <w:right w:val="single" w:sz="4" w:space="0" w:color="auto"/>
            </w:tcBorders>
            <w:shd w:val="clear" w:color="000000" w:fill="D9D9D9"/>
            <w:noWrap/>
            <w:vAlign w:val="center"/>
          </w:tcPr>
          <w:p w14:paraId="160C4382" w14:textId="1E99C280"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32,00</w:t>
            </w:r>
          </w:p>
        </w:tc>
        <w:tc>
          <w:tcPr>
            <w:tcW w:w="0" w:type="auto"/>
            <w:tcBorders>
              <w:top w:val="nil"/>
              <w:left w:val="nil"/>
              <w:bottom w:val="single" w:sz="8" w:space="0" w:color="auto"/>
              <w:right w:val="single" w:sz="4" w:space="0" w:color="auto"/>
            </w:tcBorders>
            <w:shd w:val="clear" w:color="000000" w:fill="D9D9D9"/>
            <w:noWrap/>
            <w:vAlign w:val="center"/>
          </w:tcPr>
          <w:p w14:paraId="6F868AB8" w14:textId="7A5367A9"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70,00</w:t>
            </w:r>
          </w:p>
        </w:tc>
        <w:tc>
          <w:tcPr>
            <w:tcW w:w="0" w:type="auto"/>
            <w:tcBorders>
              <w:top w:val="nil"/>
              <w:left w:val="nil"/>
              <w:bottom w:val="single" w:sz="8" w:space="0" w:color="auto"/>
              <w:right w:val="single" w:sz="8" w:space="0" w:color="auto"/>
            </w:tcBorders>
            <w:shd w:val="clear" w:color="000000" w:fill="D9D9D9"/>
            <w:noWrap/>
            <w:vAlign w:val="center"/>
          </w:tcPr>
          <w:p w14:paraId="1784B367" w14:textId="538F8D60"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240,00</w:t>
            </w:r>
          </w:p>
        </w:tc>
      </w:tr>
      <w:tr w:rsidR="00297E43" w:rsidRPr="00297E43" w14:paraId="0BEB67F4" w14:textId="77777777" w:rsidTr="00F14991">
        <w:trPr>
          <w:trHeight w:val="180"/>
        </w:trPr>
        <w:tc>
          <w:tcPr>
            <w:tcW w:w="0" w:type="auto"/>
            <w:tcBorders>
              <w:top w:val="nil"/>
              <w:left w:val="nil"/>
              <w:bottom w:val="nil"/>
              <w:right w:val="nil"/>
            </w:tcBorders>
            <w:shd w:val="clear" w:color="auto" w:fill="auto"/>
            <w:vAlign w:val="center"/>
            <w:hideMark/>
          </w:tcPr>
          <w:p w14:paraId="1C9A5593" w14:textId="77777777" w:rsidR="00CE760E" w:rsidRPr="00297E43" w:rsidRDefault="00CE760E" w:rsidP="00CE760E">
            <w:pPr>
              <w:spacing w:after="0" w:line="240" w:lineRule="auto"/>
              <w:jc w:val="center"/>
              <w:rPr>
                <w:rFonts w:ascii="Calibri" w:eastAsia="Times New Roman" w:hAnsi="Calibri" w:cs="Times New Roman"/>
                <w:b/>
                <w:bCs/>
                <w:color w:val="auto"/>
                <w:sz w:val="12"/>
                <w:szCs w:val="16"/>
                <w:lang w:eastAsia="pt-BR"/>
              </w:rPr>
            </w:pPr>
          </w:p>
        </w:tc>
        <w:tc>
          <w:tcPr>
            <w:tcW w:w="0" w:type="auto"/>
            <w:tcBorders>
              <w:top w:val="nil"/>
              <w:left w:val="nil"/>
              <w:bottom w:val="nil"/>
              <w:right w:val="nil"/>
            </w:tcBorders>
            <w:shd w:val="clear" w:color="auto" w:fill="auto"/>
            <w:noWrap/>
            <w:vAlign w:val="center"/>
            <w:hideMark/>
          </w:tcPr>
          <w:p w14:paraId="67D1AA43"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760" w:type="dxa"/>
            <w:tcBorders>
              <w:top w:val="nil"/>
              <w:left w:val="nil"/>
              <w:bottom w:val="nil"/>
              <w:right w:val="nil"/>
            </w:tcBorders>
            <w:shd w:val="clear" w:color="auto" w:fill="auto"/>
            <w:noWrap/>
            <w:vAlign w:val="center"/>
            <w:hideMark/>
          </w:tcPr>
          <w:p w14:paraId="717DBF94"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c>
          <w:tcPr>
            <w:tcW w:w="1106" w:type="dxa"/>
            <w:tcBorders>
              <w:top w:val="nil"/>
              <w:left w:val="nil"/>
              <w:bottom w:val="nil"/>
              <w:right w:val="nil"/>
            </w:tcBorders>
            <w:shd w:val="clear" w:color="auto" w:fill="auto"/>
            <w:noWrap/>
            <w:vAlign w:val="center"/>
            <w:hideMark/>
          </w:tcPr>
          <w:p w14:paraId="002B788C"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center"/>
            <w:hideMark/>
          </w:tcPr>
          <w:p w14:paraId="1EBC3601"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center"/>
            <w:hideMark/>
          </w:tcPr>
          <w:p w14:paraId="35707F1C"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712" w:type="dxa"/>
            <w:tcBorders>
              <w:top w:val="nil"/>
              <w:left w:val="nil"/>
              <w:bottom w:val="nil"/>
              <w:right w:val="nil"/>
            </w:tcBorders>
            <w:shd w:val="clear" w:color="auto" w:fill="auto"/>
            <w:noWrap/>
            <w:vAlign w:val="bottom"/>
            <w:hideMark/>
          </w:tcPr>
          <w:p w14:paraId="37C9269F"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bottom"/>
            <w:hideMark/>
          </w:tcPr>
          <w:p w14:paraId="3ADB663F"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bottom"/>
            <w:hideMark/>
          </w:tcPr>
          <w:p w14:paraId="0DEE597A"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r>
      <w:tr w:rsidR="00297E43" w:rsidRPr="00297E43" w14:paraId="3BF38168" w14:textId="77777777" w:rsidTr="00F14991">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0FFABD1" w14:textId="77777777" w:rsidR="00CE760E" w:rsidRPr="00297E43" w:rsidRDefault="00CE760E" w:rsidP="00CE760E">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Renda Variável e Estrut.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B6F6943"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Ações - Índices c/ no mínimo 50 ações - Art. 8º, I, "a"</w:t>
            </w:r>
          </w:p>
        </w:tc>
        <w:tc>
          <w:tcPr>
            <w:tcW w:w="760" w:type="dxa"/>
            <w:tcBorders>
              <w:top w:val="single" w:sz="8" w:space="0" w:color="auto"/>
              <w:left w:val="nil"/>
              <w:bottom w:val="single" w:sz="4" w:space="0" w:color="auto"/>
              <w:right w:val="single" w:sz="8" w:space="0" w:color="auto"/>
            </w:tcBorders>
            <w:shd w:val="clear" w:color="auto" w:fill="auto"/>
            <w:noWrap/>
            <w:vAlign w:val="center"/>
            <w:hideMark/>
          </w:tcPr>
          <w:p w14:paraId="0C25FE3E"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30,00%</w:t>
            </w:r>
          </w:p>
        </w:tc>
        <w:tc>
          <w:tcPr>
            <w:tcW w:w="1106" w:type="dxa"/>
            <w:tcBorders>
              <w:top w:val="single" w:sz="8" w:space="0" w:color="auto"/>
              <w:left w:val="nil"/>
              <w:bottom w:val="single" w:sz="4" w:space="0" w:color="auto"/>
              <w:right w:val="single" w:sz="4" w:space="0" w:color="auto"/>
            </w:tcBorders>
            <w:shd w:val="clear" w:color="auto" w:fill="auto"/>
            <w:noWrap/>
            <w:vAlign w:val="center"/>
          </w:tcPr>
          <w:p w14:paraId="28974E44" w14:textId="593316A9"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2.093.752,89</w:t>
            </w: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4FA253F4" w14:textId="209E9B4E"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3,75</w:t>
            </w:r>
          </w:p>
        </w:tc>
        <w:tc>
          <w:tcPr>
            <w:tcW w:w="0" w:type="auto"/>
            <w:tcBorders>
              <w:top w:val="nil"/>
              <w:left w:val="nil"/>
              <w:bottom w:val="nil"/>
              <w:right w:val="nil"/>
            </w:tcBorders>
            <w:shd w:val="clear" w:color="auto" w:fill="auto"/>
            <w:noWrap/>
            <w:vAlign w:val="center"/>
          </w:tcPr>
          <w:p w14:paraId="217B9BE6" w14:textId="68AFBA2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single" w:sz="8" w:space="0" w:color="auto"/>
              <w:left w:val="single" w:sz="8" w:space="0" w:color="auto"/>
              <w:bottom w:val="single" w:sz="4" w:space="0" w:color="auto"/>
              <w:right w:val="single" w:sz="4" w:space="0" w:color="auto"/>
            </w:tcBorders>
            <w:shd w:val="clear" w:color="000000" w:fill="F2F2F2"/>
            <w:noWrap/>
            <w:vAlign w:val="center"/>
          </w:tcPr>
          <w:p w14:paraId="1E187B62" w14:textId="3C717C0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8" w:space="0" w:color="auto"/>
              <w:left w:val="nil"/>
              <w:bottom w:val="single" w:sz="4" w:space="0" w:color="auto"/>
              <w:right w:val="single" w:sz="4" w:space="0" w:color="auto"/>
            </w:tcBorders>
            <w:shd w:val="clear" w:color="000000" w:fill="F2F2F2"/>
            <w:noWrap/>
            <w:vAlign w:val="center"/>
          </w:tcPr>
          <w:p w14:paraId="2C421440" w14:textId="657E618E"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8" w:space="0" w:color="auto"/>
              <w:left w:val="nil"/>
              <w:bottom w:val="single" w:sz="4" w:space="0" w:color="auto"/>
              <w:right w:val="single" w:sz="8" w:space="0" w:color="auto"/>
            </w:tcBorders>
            <w:shd w:val="clear" w:color="000000" w:fill="F2F2F2"/>
            <w:noWrap/>
            <w:vAlign w:val="center"/>
          </w:tcPr>
          <w:p w14:paraId="7E0FB72F" w14:textId="183933A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717199E0"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7B84C06"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44494278"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Índice de Ações (c/ no mínimo 50)- Art. 8º, I, "b"</w:t>
            </w:r>
          </w:p>
        </w:tc>
        <w:tc>
          <w:tcPr>
            <w:tcW w:w="760" w:type="dxa"/>
            <w:tcBorders>
              <w:top w:val="nil"/>
              <w:left w:val="nil"/>
              <w:bottom w:val="single" w:sz="4" w:space="0" w:color="auto"/>
              <w:right w:val="single" w:sz="8" w:space="0" w:color="auto"/>
            </w:tcBorders>
            <w:shd w:val="clear" w:color="auto" w:fill="auto"/>
            <w:noWrap/>
            <w:vAlign w:val="center"/>
            <w:hideMark/>
          </w:tcPr>
          <w:p w14:paraId="4987C997"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30,00%</w:t>
            </w:r>
          </w:p>
        </w:tc>
        <w:tc>
          <w:tcPr>
            <w:tcW w:w="1106" w:type="dxa"/>
            <w:tcBorders>
              <w:top w:val="nil"/>
              <w:left w:val="nil"/>
              <w:bottom w:val="single" w:sz="4" w:space="0" w:color="auto"/>
              <w:right w:val="single" w:sz="4" w:space="0" w:color="auto"/>
            </w:tcBorders>
            <w:shd w:val="clear" w:color="auto" w:fill="auto"/>
            <w:noWrap/>
            <w:vAlign w:val="center"/>
          </w:tcPr>
          <w:p w14:paraId="794D7115" w14:textId="7B1DBEA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2AF81A8E" w14:textId="373EB11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0B1F9108" w14:textId="48105FF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550B9268" w14:textId="03434DE8"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37FC89F5" w14:textId="2487A7F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6E453E3D" w14:textId="0C2C8F7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7AB3D5F2"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E291FFC"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7ABCD8E4"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Ações - Geral - Art. 8º, II, "a"</w:t>
            </w:r>
          </w:p>
        </w:tc>
        <w:tc>
          <w:tcPr>
            <w:tcW w:w="760" w:type="dxa"/>
            <w:tcBorders>
              <w:top w:val="nil"/>
              <w:left w:val="nil"/>
              <w:bottom w:val="single" w:sz="4" w:space="0" w:color="auto"/>
              <w:right w:val="single" w:sz="8" w:space="0" w:color="auto"/>
            </w:tcBorders>
            <w:shd w:val="clear" w:color="auto" w:fill="auto"/>
            <w:noWrap/>
            <w:vAlign w:val="center"/>
            <w:hideMark/>
          </w:tcPr>
          <w:p w14:paraId="39D99492"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20,00%</w:t>
            </w:r>
          </w:p>
        </w:tc>
        <w:tc>
          <w:tcPr>
            <w:tcW w:w="1106" w:type="dxa"/>
            <w:tcBorders>
              <w:top w:val="nil"/>
              <w:left w:val="nil"/>
              <w:bottom w:val="single" w:sz="4" w:space="0" w:color="auto"/>
              <w:right w:val="single" w:sz="4" w:space="0" w:color="auto"/>
            </w:tcBorders>
            <w:shd w:val="clear" w:color="auto" w:fill="auto"/>
            <w:noWrap/>
            <w:vAlign w:val="center"/>
          </w:tcPr>
          <w:p w14:paraId="6B2574AF" w14:textId="778300BF"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123.581,58</w:t>
            </w:r>
            <w:r w:rsidRPr="00297E43">
              <w:rPr>
                <w:rFonts w:ascii="Calibri" w:eastAsia="Times New Roman" w:hAnsi="Calibri" w:cs="Times New Roman"/>
                <w:color w:val="auto"/>
                <w:sz w:val="11"/>
                <w:szCs w:val="11"/>
                <w:lang w:eastAsia="pt-BR"/>
              </w:rPr>
              <w:tab/>
            </w:r>
          </w:p>
        </w:tc>
        <w:tc>
          <w:tcPr>
            <w:tcW w:w="0" w:type="auto"/>
            <w:tcBorders>
              <w:top w:val="nil"/>
              <w:left w:val="nil"/>
              <w:bottom w:val="single" w:sz="4" w:space="0" w:color="auto"/>
              <w:right w:val="single" w:sz="8" w:space="0" w:color="auto"/>
            </w:tcBorders>
            <w:shd w:val="clear" w:color="auto" w:fill="auto"/>
            <w:noWrap/>
            <w:vAlign w:val="center"/>
          </w:tcPr>
          <w:p w14:paraId="16FA6100" w14:textId="64239C91"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0,22</w:t>
            </w:r>
          </w:p>
        </w:tc>
        <w:tc>
          <w:tcPr>
            <w:tcW w:w="0" w:type="auto"/>
            <w:tcBorders>
              <w:top w:val="nil"/>
              <w:left w:val="nil"/>
              <w:bottom w:val="nil"/>
              <w:right w:val="nil"/>
            </w:tcBorders>
            <w:shd w:val="clear" w:color="auto" w:fill="auto"/>
            <w:noWrap/>
            <w:vAlign w:val="center"/>
          </w:tcPr>
          <w:p w14:paraId="1E68078E" w14:textId="6CD638C3"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17F6A22A" w14:textId="59781505"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7,00</w:t>
            </w:r>
          </w:p>
        </w:tc>
        <w:tc>
          <w:tcPr>
            <w:tcW w:w="0" w:type="auto"/>
            <w:tcBorders>
              <w:top w:val="nil"/>
              <w:left w:val="nil"/>
              <w:bottom w:val="single" w:sz="4" w:space="0" w:color="auto"/>
              <w:right w:val="single" w:sz="4" w:space="0" w:color="auto"/>
            </w:tcBorders>
            <w:shd w:val="clear" w:color="000000" w:fill="F2F2F2"/>
            <w:noWrap/>
            <w:vAlign w:val="center"/>
          </w:tcPr>
          <w:p w14:paraId="6BB7D4FC" w14:textId="218DA399"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0" w:type="auto"/>
            <w:tcBorders>
              <w:top w:val="nil"/>
              <w:left w:val="nil"/>
              <w:bottom w:val="single" w:sz="4" w:space="0" w:color="auto"/>
              <w:right w:val="single" w:sz="8" w:space="0" w:color="auto"/>
            </w:tcBorders>
            <w:shd w:val="clear" w:color="000000" w:fill="F2F2F2"/>
            <w:noWrap/>
            <w:vAlign w:val="center"/>
          </w:tcPr>
          <w:p w14:paraId="0672BC70" w14:textId="63C00F4F"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20,00</w:t>
            </w:r>
          </w:p>
        </w:tc>
      </w:tr>
      <w:tr w:rsidR="00297E43" w:rsidRPr="00297E43" w14:paraId="0A12BE40"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23AD22"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53B5D3E2"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Demais Índices de Ações - Art. 8º, II, "b"</w:t>
            </w:r>
          </w:p>
        </w:tc>
        <w:tc>
          <w:tcPr>
            <w:tcW w:w="760" w:type="dxa"/>
            <w:tcBorders>
              <w:top w:val="nil"/>
              <w:left w:val="nil"/>
              <w:bottom w:val="single" w:sz="4" w:space="0" w:color="auto"/>
              <w:right w:val="single" w:sz="8" w:space="0" w:color="auto"/>
            </w:tcBorders>
            <w:shd w:val="clear" w:color="auto" w:fill="auto"/>
            <w:noWrap/>
            <w:vAlign w:val="center"/>
            <w:hideMark/>
          </w:tcPr>
          <w:p w14:paraId="018E597A"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20,00%</w:t>
            </w:r>
          </w:p>
        </w:tc>
        <w:tc>
          <w:tcPr>
            <w:tcW w:w="1106" w:type="dxa"/>
            <w:tcBorders>
              <w:top w:val="nil"/>
              <w:left w:val="nil"/>
              <w:bottom w:val="single" w:sz="4" w:space="0" w:color="auto"/>
              <w:right w:val="single" w:sz="4" w:space="0" w:color="auto"/>
            </w:tcBorders>
            <w:shd w:val="clear" w:color="auto" w:fill="auto"/>
            <w:noWrap/>
            <w:vAlign w:val="center"/>
          </w:tcPr>
          <w:p w14:paraId="4D0B3EAA" w14:textId="7753747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436FD314" w14:textId="25D1A92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34018AF8" w14:textId="1CCAA968"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3A3D2ABB" w14:textId="461E8B1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4" w:space="0" w:color="auto"/>
            </w:tcBorders>
            <w:shd w:val="clear" w:color="000000" w:fill="F2F2F2"/>
            <w:noWrap/>
            <w:vAlign w:val="center"/>
          </w:tcPr>
          <w:p w14:paraId="579D0B38" w14:textId="0D2B02FE"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000000" w:fill="F2F2F2"/>
            <w:noWrap/>
            <w:vAlign w:val="center"/>
          </w:tcPr>
          <w:p w14:paraId="3EC44187" w14:textId="28CE4B4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21F732BE"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C194770"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40D65147"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Multimercado - Aberto - Art. 8º, III</w:t>
            </w:r>
          </w:p>
        </w:tc>
        <w:tc>
          <w:tcPr>
            <w:tcW w:w="760" w:type="dxa"/>
            <w:tcBorders>
              <w:top w:val="nil"/>
              <w:left w:val="nil"/>
              <w:bottom w:val="single" w:sz="4" w:space="0" w:color="auto"/>
              <w:right w:val="single" w:sz="8" w:space="0" w:color="auto"/>
            </w:tcBorders>
            <w:shd w:val="clear" w:color="auto" w:fill="auto"/>
            <w:noWrap/>
            <w:vAlign w:val="center"/>
            <w:hideMark/>
          </w:tcPr>
          <w:p w14:paraId="78F8F678"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1106" w:type="dxa"/>
            <w:tcBorders>
              <w:top w:val="nil"/>
              <w:left w:val="nil"/>
              <w:bottom w:val="single" w:sz="4" w:space="0" w:color="auto"/>
              <w:right w:val="single" w:sz="4" w:space="0" w:color="auto"/>
            </w:tcBorders>
            <w:shd w:val="clear" w:color="auto" w:fill="auto"/>
            <w:noWrap/>
            <w:vAlign w:val="center"/>
          </w:tcPr>
          <w:p w14:paraId="02144618" w14:textId="653F1091"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1.341.332,98</w:t>
            </w:r>
          </w:p>
        </w:tc>
        <w:tc>
          <w:tcPr>
            <w:tcW w:w="0" w:type="auto"/>
            <w:tcBorders>
              <w:top w:val="nil"/>
              <w:left w:val="nil"/>
              <w:bottom w:val="single" w:sz="4" w:space="0" w:color="auto"/>
              <w:right w:val="single" w:sz="8" w:space="0" w:color="auto"/>
            </w:tcBorders>
            <w:shd w:val="clear" w:color="auto" w:fill="auto"/>
            <w:noWrap/>
            <w:vAlign w:val="center"/>
          </w:tcPr>
          <w:p w14:paraId="5ED1BACB" w14:textId="22ADCD83"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2,40</w:t>
            </w:r>
          </w:p>
        </w:tc>
        <w:tc>
          <w:tcPr>
            <w:tcW w:w="0" w:type="auto"/>
            <w:tcBorders>
              <w:top w:val="nil"/>
              <w:left w:val="nil"/>
              <w:bottom w:val="nil"/>
              <w:right w:val="nil"/>
            </w:tcBorders>
            <w:shd w:val="clear" w:color="auto" w:fill="auto"/>
            <w:noWrap/>
            <w:vAlign w:val="center"/>
          </w:tcPr>
          <w:p w14:paraId="2EF7E0CE" w14:textId="426B645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76780E42" w14:textId="44B84630"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7,00</w:t>
            </w:r>
          </w:p>
        </w:tc>
        <w:tc>
          <w:tcPr>
            <w:tcW w:w="0" w:type="auto"/>
            <w:tcBorders>
              <w:top w:val="nil"/>
              <w:left w:val="nil"/>
              <w:bottom w:val="single" w:sz="4" w:space="0" w:color="auto"/>
              <w:right w:val="single" w:sz="4" w:space="0" w:color="auto"/>
            </w:tcBorders>
            <w:shd w:val="clear" w:color="000000" w:fill="F2F2F2"/>
            <w:noWrap/>
            <w:vAlign w:val="center"/>
          </w:tcPr>
          <w:p w14:paraId="76C7E87E" w14:textId="60A9CB1F"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0" w:type="auto"/>
            <w:tcBorders>
              <w:top w:val="nil"/>
              <w:left w:val="nil"/>
              <w:bottom w:val="single" w:sz="4" w:space="0" w:color="auto"/>
              <w:right w:val="single" w:sz="8" w:space="0" w:color="auto"/>
            </w:tcBorders>
            <w:shd w:val="clear" w:color="000000" w:fill="F2F2F2"/>
            <w:noWrap/>
            <w:vAlign w:val="center"/>
          </w:tcPr>
          <w:p w14:paraId="6E2F26FA" w14:textId="7884E2CA"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r>
      <w:tr w:rsidR="00297E43" w:rsidRPr="00297E43" w14:paraId="1180BB93"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362687C"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114F1F23"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Participações  - Art. 8º, IV, "a"</w:t>
            </w:r>
          </w:p>
        </w:tc>
        <w:tc>
          <w:tcPr>
            <w:tcW w:w="760" w:type="dxa"/>
            <w:tcBorders>
              <w:top w:val="nil"/>
              <w:left w:val="nil"/>
              <w:bottom w:val="single" w:sz="4" w:space="0" w:color="auto"/>
              <w:right w:val="single" w:sz="8" w:space="0" w:color="auto"/>
            </w:tcBorders>
            <w:shd w:val="clear" w:color="auto" w:fill="auto"/>
            <w:noWrap/>
            <w:vAlign w:val="center"/>
            <w:hideMark/>
          </w:tcPr>
          <w:p w14:paraId="236A3D2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single" w:sz="4" w:space="0" w:color="auto"/>
              <w:right w:val="single" w:sz="4" w:space="0" w:color="auto"/>
            </w:tcBorders>
            <w:shd w:val="clear" w:color="auto" w:fill="auto"/>
            <w:noWrap/>
            <w:vAlign w:val="center"/>
          </w:tcPr>
          <w:p w14:paraId="3DB81CC4" w14:textId="684CFC05"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97.227,91</w:t>
            </w:r>
          </w:p>
        </w:tc>
        <w:tc>
          <w:tcPr>
            <w:tcW w:w="0" w:type="auto"/>
            <w:tcBorders>
              <w:top w:val="nil"/>
              <w:left w:val="nil"/>
              <w:bottom w:val="single" w:sz="4" w:space="0" w:color="auto"/>
              <w:right w:val="single" w:sz="8" w:space="0" w:color="auto"/>
            </w:tcBorders>
            <w:shd w:val="clear" w:color="auto" w:fill="auto"/>
            <w:noWrap/>
            <w:vAlign w:val="center"/>
          </w:tcPr>
          <w:p w14:paraId="5B3455C1" w14:textId="20CA3CE2"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0,17</w:t>
            </w:r>
          </w:p>
        </w:tc>
        <w:tc>
          <w:tcPr>
            <w:tcW w:w="0" w:type="auto"/>
            <w:tcBorders>
              <w:top w:val="nil"/>
              <w:left w:val="nil"/>
              <w:bottom w:val="nil"/>
              <w:right w:val="nil"/>
            </w:tcBorders>
            <w:shd w:val="clear" w:color="auto" w:fill="auto"/>
            <w:noWrap/>
            <w:vAlign w:val="center"/>
          </w:tcPr>
          <w:p w14:paraId="01CAC30E" w14:textId="63B5DE5B"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4" w:space="0" w:color="auto"/>
              <w:right w:val="single" w:sz="4" w:space="0" w:color="auto"/>
            </w:tcBorders>
            <w:shd w:val="clear" w:color="000000" w:fill="F2F2F2"/>
            <w:noWrap/>
            <w:vAlign w:val="center"/>
          </w:tcPr>
          <w:p w14:paraId="5AA99FD0" w14:textId="321FCF37"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w:t>
            </w:r>
          </w:p>
        </w:tc>
        <w:tc>
          <w:tcPr>
            <w:tcW w:w="0" w:type="auto"/>
            <w:tcBorders>
              <w:top w:val="nil"/>
              <w:left w:val="nil"/>
              <w:bottom w:val="single" w:sz="4" w:space="0" w:color="auto"/>
              <w:right w:val="single" w:sz="4" w:space="0" w:color="auto"/>
            </w:tcBorders>
            <w:shd w:val="clear" w:color="000000" w:fill="F2F2F2"/>
            <w:noWrap/>
            <w:vAlign w:val="center"/>
          </w:tcPr>
          <w:p w14:paraId="3864E374" w14:textId="179113EA"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0" w:type="auto"/>
            <w:tcBorders>
              <w:top w:val="nil"/>
              <w:left w:val="nil"/>
              <w:bottom w:val="single" w:sz="4" w:space="0" w:color="auto"/>
              <w:right w:val="single" w:sz="8" w:space="0" w:color="auto"/>
            </w:tcBorders>
            <w:shd w:val="clear" w:color="000000" w:fill="F2F2F2"/>
            <w:noWrap/>
            <w:vAlign w:val="center"/>
          </w:tcPr>
          <w:p w14:paraId="1176B169" w14:textId="68AD4D18"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r>
      <w:tr w:rsidR="00297E43" w:rsidRPr="00297E43" w14:paraId="7EA47A2D"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2A8B33F"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nil"/>
              <w:right w:val="single" w:sz="4" w:space="0" w:color="auto"/>
            </w:tcBorders>
            <w:shd w:val="clear" w:color="auto" w:fill="auto"/>
            <w:noWrap/>
            <w:vAlign w:val="center"/>
            <w:hideMark/>
          </w:tcPr>
          <w:p w14:paraId="6CF13E3E"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Imobiliário - Art. 8º, IV, "b"</w:t>
            </w:r>
          </w:p>
        </w:tc>
        <w:tc>
          <w:tcPr>
            <w:tcW w:w="760" w:type="dxa"/>
            <w:tcBorders>
              <w:top w:val="nil"/>
              <w:left w:val="nil"/>
              <w:bottom w:val="nil"/>
              <w:right w:val="single" w:sz="8" w:space="0" w:color="auto"/>
            </w:tcBorders>
            <w:shd w:val="clear" w:color="auto" w:fill="auto"/>
            <w:noWrap/>
            <w:vAlign w:val="center"/>
            <w:hideMark/>
          </w:tcPr>
          <w:p w14:paraId="7DEDBFDD"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nil"/>
              <w:left w:val="nil"/>
              <w:bottom w:val="nil"/>
              <w:right w:val="single" w:sz="4" w:space="0" w:color="auto"/>
            </w:tcBorders>
            <w:shd w:val="clear" w:color="auto" w:fill="auto"/>
            <w:noWrap/>
            <w:vAlign w:val="center"/>
          </w:tcPr>
          <w:p w14:paraId="24E67E7E" w14:textId="791E43B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single" w:sz="8" w:space="0" w:color="auto"/>
            </w:tcBorders>
            <w:shd w:val="clear" w:color="auto" w:fill="auto"/>
            <w:noWrap/>
            <w:vAlign w:val="center"/>
          </w:tcPr>
          <w:p w14:paraId="398F6F55" w14:textId="4EADB5A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4EAED543" w14:textId="6842330F"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nil"/>
              <w:right w:val="single" w:sz="4" w:space="0" w:color="auto"/>
            </w:tcBorders>
            <w:shd w:val="clear" w:color="000000" w:fill="F2F2F2"/>
            <w:noWrap/>
            <w:vAlign w:val="center"/>
          </w:tcPr>
          <w:p w14:paraId="24384CD3" w14:textId="40AFA863"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2,00</w:t>
            </w:r>
          </w:p>
        </w:tc>
        <w:tc>
          <w:tcPr>
            <w:tcW w:w="0" w:type="auto"/>
            <w:tcBorders>
              <w:top w:val="nil"/>
              <w:left w:val="nil"/>
              <w:bottom w:val="nil"/>
              <w:right w:val="single" w:sz="4" w:space="0" w:color="auto"/>
            </w:tcBorders>
            <w:shd w:val="clear" w:color="000000" w:fill="F2F2F2"/>
            <w:noWrap/>
            <w:vAlign w:val="center"/>
          </w:tcPr>
          <w:p w14:paraId="1EE7FA32" w14:textId="4F0A205F"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0" w:type="auto"/>
            <w:tcBorders>
              <w:top w:val="nil"/>
              <w:left w:val="nil"/>
              <w:bottom w:val="nil"/>
              <w:right w:val="single" w:sz="8" w:space="0" w:color="auto"/>
            </w:tcBorders>
            <w:shd w:val="clear" w:color="000000" w:fill="F2F2F2"/>
            <w:noWrap/>
            <w:vAlign w:val="center"/>
          </w:tcPr>
          <w:p w14:paraId="447604D7" w14:textId="2CF9ADD7"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r>
      <w:tr w:rsidR="00297E43" w:rsidRPr="00297E43" w14:paraId="1A16CF8A" w14:textId="77777777" w:rsidTr="00F1499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6F01AE5"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444711F"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Ações - Mercado de Acesso - Art. 8º, IV, "c"</w:t>
            </w:r>
          </w:p>
        </w:tc>
        <w:tc>
          <w:tcPr>
            <w:tcW w:w="760" w:type="dxa"/>
            <w:tcBorders>
              <w:top w:val="single" w:sz="4" w:space="0" w:color="auto"/>
              <w:left w:val="nil"/>
              <w:bottom w:val="single" w:sz="8" w:space="0" w:color="auto"/>
              <w:right w:val="single" w:sz="8" w:space="0" w:color="auto"/>
            </w:tcBorders>
            <w:shd w:val="clear" w:color="auto" w:fill="auto"/>
            <w:noWrap/>
            <w:vAlign w:val="center"/>
            <w:hideMark/>
          </w:tcPr>
          <w:p w14:paraId="10B4995E"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5,00%</w:t>
            </w:r>
          </w:p>
        </w:tc>
        <w:tc>
          <w:tcPr>
            <w:tcW w:w="1106" w:type="dxa"/>
            <w:tcBorders>
              <w:top w:val="single" w:sz="4" w:space="0" w:color="auto"/>
              <w:left w:val="nil"/>
              <w:bottom w:val="single" w:sz="8" w:space="0" w:color="auto"/>
              <w:right w:val="single" w:sz="4" w:space="0" w:color="auto"/>
            </w:tcBorders>
            <w:shd w:val="clear" w:color="auto" w:fill="auto"/>
            <w:noWrap/>
            <w:vAlign w:val="center"/>
          </w:tcPr>
          <w:p w14:paraId="7B6C5C39" w14:textId="7F5A5B4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4" w:space="0" w:color="auto"/>
              <w:left w:val="nil"/>
              <w:bottom w:val="single" w:sz="8" w:space="0" w:color="auto"/>
              <w:right w:val="single" w:sz="8" w:space="0" w:color="auto"/>
            </w:tcBorders>
            <w:shd w:val="clear" w:color="auto" w:fill="auto"/>
            <w:noWrap/>
            <w:vAlign w:val="center"/>
          </w:tcPr>
          <w:p w14:paraId="071AF5F0" w14:textId="38285BE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3059BC26" w14:textId="688101A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single" w:sz="4" w:space="0" w:color="auto"/>
              <w:left w:val="single" w:sz="8" w:space="0" w:color="auto"/>
              <w:bottom w:val="single" w:sz="8" w:space="0" w:color="auto"/>
              <w:right w:val="single" w:sz="4" w:space="0" w:color="auto"/>
            </w:tcBorders>
            <w:shd w:val="clear" w:color="000000" w:fill="F2F2F2"/>
            <w:noWrap/>
            <w:vAlign w:val="center"/>
          </w:tcPr>
          <w:p w14:paraId="7D93CDF9" w14:textId="36E77505"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4" w:space="0" w:color="auto"/>
              <w:left w:val="nil"/>
              <w:bottom w:val="single" w:sz="8" w:space="0" w:color="auto"/>
              <w:right w:val="single" w:sz="4" w:space="0" w:color="auto"/>
            </w:tcBorders>
            <w:shd w:val="clear" w:color="000000" w:fill="F2F2F2"/>
            <w:noWrap/>
            <w:vAlign w:val="center"/>
          </w:tcPr>
          <w:p w14:paraId="2A51D74C" w14:textId="45BE76F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4" w:space="0" w:color="auto"/>
              <w:left w:val="nil"/>
              <w:bottom w:val="single" w:sz="8" w:space="0" w:color="auto"/>
              <w:right w:val="single" w:sz="8" w:space="0" w:color="auto"/>
            </w:tcBorders>
            <w:shd w:val="clear" w:color="000000" w:fill="F2F2F2"/>
            <w:noWrap/>
            <w:vAlign w:val="center"/>
          </w:tcPr>
          <w:p w14:paraId="20BD529B" w14:textId="1917EBD1"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1615DF71" w14:textId="77777777" w:rsidTr="00F14991">
        <w:trPr>
          <w:trHeight w:val="315"/>
        </w:trPr>
        <w:tc>
          <w:tcPr>
            <w:tcW w:w="0" w:type="auto"/>
            <w:tcBorders>
              <w:top w:val="nil"/>
              <w:left w:val="nil"/>
              <w:bottom w:val="nil"/>
              <w:right w:val="nil"/>
            </w:tcBorders>
            <w:shd w:val="clear" w:color="auto" w:fill="auto"/>
            <w:vAlign w:val="center"/>
            <w:hideMark/>
          </w:tcPr>
          <w:p w14:paraId="7824A2B1" w14:textId="77777777" w:rsidR="00CE760E" w:rsidRPr="00297E43" w:rsidRDefault="00CE760E" w:rsidP="00CE760E">
            <w:pPr>
              <w:spacing w:after="0" w:line="240" w:lineRule="auto"/>
              <w:jc w:val="center"/>
              <w:rPr>
                <w:rFonts w:ascii="Calibri" w:eastAsia="Times New Roman" w:hAnsi="Calibri" w:cs="Times New Roman"/>
                <w:color w:val="auto"/>
                <w:sz w:val="12"/>
                <w:szCs w:val="16"/>
                <w:lang w:eastAsia="pt-BR"/>
              </w:rPr>
            </w:pPr>
          </w:p>
        </w:tc>
        <w:tc>
          <w:tcPr>
            <w:tcW w:w="0" w:type="auto"/>
            <w:tcBorders>
              <w:top w:val="nil"/>
              <w:left w:val="single" w:sz="8" w:space="0" w:color="auto"/>
              <w:bottom w:val="single" w:sz="8" w:space="0" w:color="auto"/>
              <w:right w:val="single" w:sz="4" w:space="0" w:color="auto"/>
            </w:tcBorders>
            <w:shd w:val="clear" w:color="000000" w:fill="D9D9D9"/>
            <w:noWrap/>
            <w:vAlign w:val="center"/>
            <w:hideMark/>
          </w:tcPr>
          <w:p w14:paraId="30825E08" w14:textId="77777777" w:rsidR="00CE760E" w:rsidRPr="00297E43" w:rsidRDefault="00CE760E" w:rsidP="00CE760E">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de Renda Variável - Art. 8º, § 1°</w:t>
            </w:r>
          </w:p>
        </w:tc>
        <w:tc>
          <w:tcPr>
            <w:tcW w:w="760" w:type="dxa"/>
            <w:tcBorders>
              <w:top w:val="nil"/>
              <w:left w:val="nil"/>
              <w:bottom w:val="single" w:sz="8" w:space="0" w:color="auto"/>
              <w:right w:val="single" w:sz="8" w:space="0" w:color="auto"/>
            </w:tcBorders>
            <w:shd w:val="clear" w:color="000000" w:fill="D9D9D9"/>
            <w:noWrap/>
            <w:vAlign w:val="center"/>
            <w:hideMark/>
          </w:tcPr>
          <w:p w14:paraId="145E2AF5" w14:textId="77777777"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30,00%</w:t>
            </w:r>
          </w:p>
        </w:tc>
        <w:tc>
          <w:tcPr>
            <w:tcW w:w="1106" w:type="dxa"/>
            <w:tcBorders>
              <w:top w:val="nil"/>
              <w:left w:val="nil"/>
              <w:bottom w:val="single" w:sz="8" w:space="0" w:color="auto"/>
              <w:right w:val="single" w:sz="4" w:space="0" w:color="auto"/>
            </w:tcBorders>
            <w:shd w:val="clear" w:color="000000" w:fill="D9D9D9"/>
            <w:noWrap/>
            <w:vAlign w:val="center"/>
          </w:tcPr>
          <w:p w14:paraId="7BA2A881" w14:textId="4B54B9C7"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3.655.895,36</w:t>
            </w:r>
            <w:r w:rsidRPr="00297E43">
              <w:rPr>
                <w:rFonts w:ascii="Calibri" w:eastAsia="Times New Roman" w:hAnsi="Calibri" w:cs="Times New Roman"/>
                <w:color w:val="auto"/>
                <w:sz w:val="11"/>
                <w:szCs w:val="11"/>
                <w:lang w:eastAsia="pt-BR"/>
              </w:rPr>
              <w:tab/>
            </w:r>
          </w:p>
        </w:tc>
        <w:tc>
          <w:tcPr>
            <w:tcW w:w="0" w:type="auto"/>
            <w:tcBorders>
              <w:top w:val="nil"/>
              <w:left w:val="nil"/>
              <w:bottom w:val="single" w:sz="8" w:space="0" w:color="auto"/>
              <w:right w:val="single" w:sz="8" w:space="0" w:color="auto"/>
            </w:tcBorders>
            <w:shd w:val="clear" w:color="000000" w:fill="D9D9D9"/>
            <w:noWrap/>
            <w:vAlign w:val="center"/>
          </w:tcPr>
          <w:p w14:paraId="2A276336" w14:textId="05BA8CFB" w:rsidR="00CE760E" w:rsidRPr="00297E43" w:rsidRDefault="001152B6"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6,55</w:t>
            </w:r>
          </w:p>
        </w:tc>
        <w:tc>
          <w:tcPr>
            <w:tcW w:w="0" w:type="auto"/>
            <w:tcBorders>
              <w:top w:val="nil"/>
              <w:left w:val="nil"/>
              <w:bottom w:val="nil"/>
              <w:right w:val="nil"/>
            </w:tcBorders>
            <w:shd w:val="clear" w:color="auto" w:fill="auto"/>
            <w:noWrap/>
            <w:vAlign w:val="center"/>
          </w:tcPr>
          <w:p w14:paraId="4415DC51"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8" w:space="0" w:color="auto"/>
              <w:right w:val="single" w:sz="4" w:space="0" w:color="auto"/>
            </w:tcBorders>
            <w:shd w:val="clear" w:color="000000" w:fill="D9D9D9"/>
            <w:noWrap/>
            <w:vAlign w:val="center"/>
          </w:tcPr>
          <w:p w14:paraId="15B1F721" w14:textId="53F6807D"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18,00</w:t>
            </w:r>
          </w:p>
        </w:tc>
        <w:tc>
          <w:tcPr>
            <w:tcW w:w="0" w:type="auto"/>
            <w:tcBorders>
              <w:top w:val="nil"/>
              <w:left w:val="nil"/>
              <w:bottom w:val="single" w:sz="8" w:space="0" w:color="auto"/>
              <w:right w:val="single" w:sz="4" w:space="0" w:color="auto"/>
            </w:tcBorders>
            <w:shd w:val="clear" w:color="000000" w:fill="D9D9D9"/>
            <w:noWrap/>
            <w:vAlign w:val="center"/>
          </w:tcPr>
          <w:p w14:paraId="67626F73" w14:textId="2461E795"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30,00</w:t>
            </w:r>
          </w:p>
        </w:tc>
        <w:tc>
          <w:tcPr>
            <w:tcW w:w="0" w:type="auto"/>
            <w:tcBorders>
              <w:top w:val="nil"/>
              <w:left w:val="nil"/>
              <w:bottom w:val="single" w:sz="8" w:space="0" w:color="auto"/>
              <w:right w:val="single" w:sz="8" w:space="0" w:color="auto"/>
            </w:tcBorders>
            <w:shd w:val="clear" w:color="000000" w:fill="D9D9D9"/>
            <w:noWrap/>
            <w:vAlign w:val="center"/>
          </w:tcPr>
          <w:p w14:paraId="465A6D09" w14:textId="58AC6E82" w:rsidR="00CE760E" w:rsidRPr="00297E43" w:rsidRDefault="001152B6"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40,00</w:t>
            </w:r>
          </w:p>
        </w:tc>
      </w:tr>
      <w:tr w:rsidR="00297E43" w:rsidRPr="00297E43" w14:paraId="2F3F1DB0" w14:textId="77777777" w:rsidTr="00F14991">
        <w:trPr>
          <w:trHeight w:val="180"/>
        </w:trPr>
        <w:tc>
          <w:tcPr>
            <w:tcW w:w="0" w:type="auto"/>
            <w:tcBorders>
              <w:top w:val="nil"/>
              <w:left w:val="nil"/>
              <w:bottom w:val="nil"/>
              <w:right w:val="nil"/>
            </w:tcBorders>
            <w:shd w:val="clear" w:color="auto" w:fill="auto"/>
            <w:vAlign w:val="center"/>
            <w:hideMark/>
          </w:tcPr>
          <w:p w14:paraId="6029BE7A" w14:textId="77777777" w:rsidR="00CE760E" w:rsidRPr="00297E43" w:rsidRDefault="00CE760E" w:rsidP="00CE760E">
            <w:pPr>
              <w:spacing w:after="0" w:line="240" w:lineRule="auto"/>
              <w:jc w:val="center"/>
              <w:rPr>
                <w:rFonts w:ascii="Calibri" w:eastAsia="Times New Roman" w:hAnsi="Calibri" w:cs="Times New Roman"/>
                <w:b/>
                <w:bCs/>
                <w:color w:val="auto"/>
                <w:sz w:val="12"/>
                <w:szCs w:val="16"/>
                <w:lang w:eastAsia="pt-BR"/>
              </w:rPr>
            </w:pPr>
          </w:p>
        </w:tc>
        <w:tc>
          <w:tcPr>
            <w:tcW w:w="0" w:type="auto"/>
            <w:tcBorders>
              <w:top w:val="nil"/>
              <w:left w:val="nil"/>
              <w:bottom w:val="nil"/>
              <w:right w:val="nil"/>
            </w:tcBorders>
            <w:shd w:val="clear" w:color="auto" w:fill="auto"/>
            <w:noWrap/>
            <w:vAlign w:val="center"/>
            <w:hideMark/>
          </w:tcPr>
          <w:p w14:paraId="3C7D32A6"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760" w:type="dxa"/>
            <w:tcBorders>
              <w:top w:val="nil"/>
              <w:left w:val="nil"/>
              <w:bottom w:val="nil"/>
              <w:right w:val="nil"/>
            </w:tcBorders>
            <w:shd w:val="clear" w:color="auto" w:fill="auto"/>
            <w:noWrap/>
            <w:vAlign w:val="center"/>
            <w:hideMark/>
          </w:tcPr>
          <w:p w14:paraId="2A0CEC76"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c>
          <w:tcPr>
            <w:tcW w:w="1106" w:type="dxa"/>
            <w:tcBorders>
              <w:top w:val="nil"/>
              <w:left w:val="nil"/>
              <w:bottom w:val="nil"/>
              <w:right w:val="nil"/>
            </w:tcBorders>
            <w:shd w:val="clear" w:color="auto" w:fill="auto"/>
            <w:noWrap/>
            <w:vAlign w:val="center"/>
            <w:hideMark/>
          </w:tcPr>
          <w:p w14:paraId="4CD842C2"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center"/>
            <w:hideMark/>
          </w:tcPr>
          <w:p w14:paraId="1F85E8CA"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center"/>
            <w:hideMark/>
          </w:tcPr>
          <w:p w14:paraId="6F405ED4"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712" w:type="dxa"/>
            <w:tcBorders>
              <w:top w:val="nil"/>
              <w:left w:val="nil"/>
              <w:bottom w:val="nil"/>
              <w:right w:val="nil"/>
            </w:tcBorders>
            <w:shd w:val="clear" w:color="auto" w:fill="auto"/>
            <w:noWrap/>
            <w:vAlign w:val="bottom"/>
            <w:hideMark/>
          </w:tcPr>
          <w:p w14:paraId="1382D5DE" w14:textId="77777777" w:rsidR="00CE760E" w:rsidRPr="00297E43" w:rsidRDefault="00CE760E" w:rsidP="00CE760E">
            <w:pPr>
              <w:spacing w:after="0" w:line="240" w:lineRule="auto"/>
              <w:jc w:val="center"/>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bottom"/>
            <w:hideMark/>
          </w:tcPr>
          <w:p w14:paraId="1D535A07"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c>
          <w:tcPr>
            <w:tcW w:w="0" w:type="auto"/>
            <w:tcBorders>
              <w:top w:val="nil"/>
              <w:left w:val="nil"/>
              <w:bottom w:val="nil"/>
              <w:right w:val="nil"/>
            </w:tcBorders>
            <w:shd w:val="clear" w:color="auto" w:fill="auto"/>
            <w:noWrap/>
            <w:vAlign w:val="bottom"/>
            <w:hideMark/>
          </w:tcPr>
          <w:p w14:paraId="21B170BF" w14:textId="77777777" w:rsidR="00CE760E" w:rsidRPr="00297E43" w:rsidRDefault="00CE760E" w:rsidP="00CE760E">
            <w:pPr>
              <w:spacing w:after="0" w:line="240" w:lineRule="auto"/>
              <w:jc w:val="left"/>
              <w:rPr>
                <w:rFonts w:ascii="Times New Roman" w:eastAsia="Times New Roman" w:hAnsi="Times New Roman" w:cs="Times New Roman"/>
                <w:color w:val="auto"/>
                <w:sz w:val="12"/>
                <w:szCs w:val="20"/>
                <w:lang w:eastAsia="pt-BR"/>
              </w:rPr>
            </w:pPr>
          </w:p>
        </w:tc>
      </w:tr>
      <w:tr w:rsidR="00297E43" w:rsidRPr="00297E43" w14:paraId="0D3C968E" w14:textId="77777777" w:rsidTr="00F14991">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362BBA9" w14:textId="77777777" w:rsidR="00CE760E" w:rsidRPr="00297E43" w:rsidRDefault="00CE760E" w:rsidP="00CE760E">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Invest. No Exterior</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DC60A41"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Renda Fixa - Dívida Externa - Art. 9ºA, I</w:t>
            </w:r>
          </w:p>
        </w:tc>
        <w:tc>
          <w:tcPr>
            <w:tcW w:w="760" w:type="dxa"/>
            <w:tcBorders>
              <w:top w:val="single" w:sz="8" w:space="0" w:color="auto"/>
              <w:left w:val="nil"/>
              <w:bottom w:val="single" w:sz="4" w:space="0" w:color="auto"/>
              <w:right w:val="single" w:sz="8" w:space="0" w:color="auto"/>
            </w:tcBorders>
            <w:shd w:val="clear" w:color="auto" w:fill="auto"/>
            <w:noWrap/>
            <w:vAlign w:val="center"/>
            <w:hideMark/>
          </w:tcPr>
          <w:p w14:paraId="51841A82"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1106" w:type="dxa"/>
            <w:tcBorders>
              <w:top w:val="single" w:sz="8" w:space="0" w:color="auto"/>
              <w:left w:val="nil"/>
              <w:bottom w:val="single" w:sz="4" w:space="0" w:color="auto"/>
              <w:right w:val="single" w:sz="4" w:space="0" w:color="auto"/>
            </w:tcBorders>
            <w:shd w:val="clear" w:color="auto" w:fill="auto"/>
            <w:noWrap/>
            <w:vAlign w:val="center"/>
          </w:tcPr>
          <w:p w14:paraId="53F9BE39" w14:textId="74CFAE39"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2F03781C" w14:textId="03552742"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33239720"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single" w:sz="8" w:space="0" w:color="auto"/>
              <w:left w:val="single" w:sz="8" w:space="0" w:color="auto"/>
              <w:bottom w:val="single" w:sz="4" w:space="0" w:color="auto"/>
              <w:right w:val="single" w:sz="4" w:space="0" w:color="auto"/>
            </w:tcBorders>
            <w:shd w:val="clear" w:color="000000" w:fill="F2F2F2"/>
            <w:noWrap/>
            <w:vAlign w:val="center"/>
          </w:tcPr>
          <w:p w14:paraId="77696F01" w14:textId="02D01228"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8" w:space="0" w:color="auto"/>
              <w:left w:val="nil"/>
              <w:bottom w:val="single" w:sz="4" w:space="0" w:color="auto"/>
              <w:right w:val="single" w:sz="4" w:space="0" w:color="auto"/>
            </w:tcBorders>
            <w:shd w:val="clear" w:color="000000" w:fill="F2F2F2"/>
            <w:noWrap/>
            <w:vAlign w:val="center"/>
          </w:tcPr>
          <w:p w14:paraId="22D4650A" w14:textId="303BD7B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8" w:space="0" w:color="auto"/>
              <w:left w:val="nil"/>
              <w:bottom w:val="single" w:sz="4" w:space="0" w:color="auto"/>
              <w:right w:val="single" w:sz="8" w:space="0" w:color="auto"/>
            </w:tcBorders>
            <w:shd w:val="clear" w:color="000000" w:fill="F2F2F2"/>
            <w:noWrap/>
            <w:vAlign w:val="center"/>
          </w:tcPr>
          <w:p w14:paraId="4934E4DC" w14:textId="7630265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20D8F425" w14:textId="77777777" w:rsidTr="00F14991">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6875C3"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0A7AB22E"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Constituidos no Brasil - Investimentos no Exterior - Art. 9ºA, II</w:t>
            </w:r>
          </w:p>
        </w:tc>
        <w:tc>
          <w:tcPr>
            <w:tcW w:w="760" w:type="dxa"/>
            <w:tcBorders>
              <w:top w:val="nil"/>
              <w:left w:val="nil"/>
              <w:bottom w:val="single" w:sz="4" w:space="0" w:color="auto"/>
              <w:right w:val="single" w:sz="8" w:space="0" w:color="auto"/>
            </w:tcBorders>
            <w:shd w:val="clear" w:color="auto" w:fill="auto"/>
            <w:noWrap/>
            <w:vAlign w:val="center"/>
            <w:hideMark/>
          </w:tcPr>
          <w:p w14:paraId="20123740"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1106" w:type="dxa"/>
            <w:tcBorders>
              <w:top w:val="nil"/>
              <w:left w:val="nil"/>
              <w:bottom w:val="single" w:sz="4" w:space="0" w:color="auto"/>
              <w:right w:val="single" w:sz="4" w:space="0" w:color="auto"/>
            </w:tcBorders>
            <w:shd w:val="clear" w:color="auto" w:fill="auto"/>
            <w:noWrap/>
            <w:vAlign w:val="center"/>
          </w:tcPr>
          <w:p w14:paraId="75DE4FFD" w14:textId="64A3D3A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4" w:space="0" w:color="auto"/>
              <w:right w:val="single" w:sz="8" w:space="0" w:color="auto"/>
            </w:tcBorders>
            <w:shd w:val="clear" w:color="auto" w:fill="auto"/>
            <w:noWrap/>
            <w:vAlign w:val="center"/>
          </w:tcPr>
          <w:p w14:paraId="6CAF9086" w14:textId="65F4350B"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26484903"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nil"/>
              <w:right w:val="single" w:sz="4" w:space="0" w:color="auto"/>
            </w:tcBorders>
            <w:shd w:val="clear" w:color="000000" w:fill="F2F2F2"/>
            <w:noWrap/>
            <w:vAlign w:val="center"/>
          </w:tcPr>
          <w:p w14:paraId="3E25B3F5" w14:textId="60D4FCD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single" w:sz="4" w:space="0" w:color="auto"/>
            </w:tcBorders>
            <w:shd w:val="clear" w:color="000000" w:fill="F2F2F2"/>
            <w:noWrap/>
            <w:vAlign w:val="center"/>
          </w:tcPr>
          <w:p w14:paraId="47759CDD" w14:textId="7D3E79D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single" w:sz="8" w:space="0" w:color="auto"/>
            </w:tcBorders>
            <w:shd w:val="clear" w:color="000000" w:fill="F2F2F2"/>
            <w:noWrap/>
            <w:vAlign w:val="center"/>
          </w:tcPr>
          <w:p w14:paraId="060FA27B" w14:textId="5E5BA7B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7880465D" w14:textId="77777777" w:rsidTr="00F1499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1AF068" w14:textId="77777777" w:rsidR="00CE760E" w:rsidRPr="00297E43" w:rsidRDefault="00CE760E" w:rsidP="00CE760E">
            <w:pPr>
              <w:spacing w:after="0" w:line="240" w:lineRule="auto"/>
              <w:jc w:val="left"/>
              <w:rPr>
                <w:rFonts w:ascii="Calibri" w:eastAsia="Times New Roman" w:hAnsi="Calibri" w:cs="Times New Roman"/>
                <w:b/>
                <w:bCs/>
                <w:color w:val="auto"/>
                <w:sz w:val="12"/>
                <w:szCs w:val="18"/>
                <w:lang w:eastAsia="pt-BR"/>
              </w:rPr>
            </w:pPr>
          </w:p>
        </w:tc>
        <w:tc>
          <w:tcPr>
            <w:tcW w:w="0" w:type="auto"/>
            <w:tcBorders>
              <w:top w:val="nil"/>
              <w:left w:val="nil"/>
              <w:bottom w:val="single" w:sz="8" w:space="0" w:color="auto"/>
              <w:right w:val="single" w:sz="4" w:space="0" w:color="auto"/>
            </w:tcBorders>
            <w:shd w:val="clear" w:color="auto" w:fill="auto"/>
            <w:noWrap/>
            <w:vAlign w:val="center"/>
            <w:hideMark/>
          </w:tcPr>
          <w:p w14:paraId="2A858BC4" w14:textId="77777777" w:rsidR="00CE760E" w:rsidRPr="00297E43" w:rsidRDefault="00CE760E" w:rsidP="00CE760E">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Ações BDR Nível I -  - Art. 9ºA, III</w:t>
            </w:r>
          </w:p>
        </w:tc>
        <w:tc>
          <w:tcPr>
            <w:tcW w:w="760" w:type="dxa"/>
            <w:tcBorders>
              <w:top w:val="nil"/>
              <w:left w:val="nil"/>
              <w:bottom w:val="single" w:sz="8" w:space="0" w:color="auto"/>
              <w:right w:val="single" w:sz="8" w:space="0" w:color="auto"/>
            </w:tcBorders>
            <w:shd w:val="clear" w:color="auto" w:fill="auto"/>
            <w:noWrap/>
            <w:vAlign w:val="center"/>
            <w:hideMark/>
          </w:tcPr>
          <w:p w14:paraId="604FAAB4"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r w:rsidRPr="00297E43">
              <w:rPr>
                <w:rFonts w:ascii="Calibri" w:eastAsia="Times New Roman" w:hAnsi="Calibri" w:cs="Times New Roman"/>
                <w:color w:val="auto"/>
                <w:sz w:val="11"/>
                <w:szCs w:val="11"/>
                <w:lang w:eastAsia="pt-BR"/>
              </w:rPr>
              <w:t>10,00%</w:t>
            </w:r>
          </w:p>
        </w:tc>
        <w:tc>
          <w:tcPr>
            <w:tcW w:w="1106" w:type="dxa"/>
            <w:tcBorders>
              <w:top w:val="nil"/>
              <w:left w:val="nil"/>
              <w:bottom w:val="single" w:sz="8" w:space="0" w:color="auto"/>
              <w:right w:val="single" w:sz="4" w:space="0" w:color="auto"/>
            </w:tcBorders>
            <w:shd w:val="clear" w:color="auto" w:fill="auto"/>
            <w:noWrap/>
            <w:vAlign w:val="center"/>
          </w:tcPr>
          <w:p w14:paraId="6B54A6B0" w14:textId="2E4D1C9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8" w:space="0" w:color="auto"/>
              <w:right w:val="single" w:sz="8" w:space="0" w:color="auto"/>
            </w:tcBorders>
            <w:shd w:val="clear" w:color="auto" w:fill="auto"/>
            <w:noWrap/>
            <w:vAlign w:val="center"/>
          </w:tcPr>
          <w:p w14:paraId="298B8BF9" w14:textId="420E011A"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6985A7CC"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single" w:sz="4" w:space="0" w:color="auto"/>
              <w:left w:val="single" w:sz="8" w:space="0" w:color="auto"/>
              <w:bottom w:val="single" w:sz="8" w:space="0" w:color="auto"/>
              <w:right w:val="single" w:sz="4" w:space="0" w:color="auto"/>
            </w:tcBorders>
            <w:shd w:val="clear" w:color="000000" w:fill="F2F2F2"/>
            <w:noWrap/>
            <w:vAlign w:val="center"/>
          </w:tcPr>
          <w:p w14:paraId="47831CDE" w14:textId="703BD2AC"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4" w:space="0" w:color="auto"/>
              <w:left w:val="nil"/>
              <w:bottom w:val="single" w:sz="8" w:space="0" w:color="auto"/>
              <w:right w:val="single" w:sz="4" w:space="0" w:color="auto"/>
            </w:tcBorders>
            <w:shd w:val="clear" w:color="000000" w:fill="F2F2F2"/>
            <w:noWrap/>
            <w:vAlign w:val="center"/>
          </w:tcPr>
          <w:p w14:paraId="0BF74FBC" w14:textId="6C78C574"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single" w:sz="4" w:space="0" w:color="auto"/>
              <w:left w:val="nil"/>
              <w:bottom w:val="single" w:sz="8" w:space="0" w:color="auto"/>
              <w:right w:val="single" w:sz="8" w:space="0" w:color="auto"/>
            </w:tcBorders>
            <w:shd w:val="clear" w:color="000000" w:fill="F2F2F2"/>
            <w:noWrap/>
            <w:vAlign w:val="center"/>
          </w:tcPr>
          <w:p w14:paraId="29BAA608" w14:textId="7BFB22F3"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r>
      <w:tr w:rsidR="00297E43" w:rsidRPr="00297E43" w14:paraId="5A23772E" w14:textId="77777777" w:rsidTr="00F14991">
        <w:trPr>
          <w:trHeight w:val="315"/>
        </w:trPr>
        <w:tc>
          <w:tcPr>
            <w:tcW w:w="0" w:type="auto"/>
            <w:tcBorders>
              <w:top w:val="nil"/>
              <w:left w:val="nil"/>
              <w:bottom w:val="nil"/>
              <w:right w:val="nil"/>
            </w:tcBorders>
            <w:shd w:val="clear" w:color="auto" w:fill="auto"/>
            <w:noWrap/>
            <w:vAlign w:val="bottom"/>
            <w:hideMark/>
          </w:tcPr>
          <w:p w14:paraId="6C18463C" w14:textId="77777777" w:rsidR="00CE760E" w:rsidRPr="00297E43" w:rsidRDefault="00CE760E" w:rsidP="00CE760E">
            <w:pPr>
              <w:spacing w:after="0" w:line="240" w:lineRule="auto"/>
              <w:jc w:val="center"/>
              <w:rPr>
                <w:rFonts w:ascii="Calibri" w:eastAsia="Times New Roman" w:hAnsi="Calibri" w:cs="Times New Roman"/>
                <w:color w:val="auto"/>
                <w:sz w:val="12"/>
                <w:szCs w:val="16"/>
                <w:lang w:eastAsia="pt-BR"/>
              </w:rPr>
            </w:pPr>
          </w:p>
        </w:tc>
        <w:tc>
          <w:tcPr>
            <w:tcW w:w="0" w:type="auto"/>
            <w:tcBorders>
              <w:top w:val="nil"/>
              <w:left w:val="single" w:sz="8" w:space="0" w:color="auto"/>
              <w:bottom w:val="single" w:sz="8" w:space="0" w:color="auto"/>
              <w:right w:val="single" w:sz="4" w:space="0" w:color="auto"/>
            </w:tcBorders>
            <w:shd w:val="clear" w:color="000000" w:fill="D9D9D9"/>
            <w:noWrap/>
            <w:vAlign w:val="center"/>
            <w:hideMark/>
          </w:tcPr>
          <w:p w14:paraId="7A4B4DBA" w14:textId="77777777" w:rsidR="00CE760E" w:rsidRPr="00297E43" w:rsidRDefault="00CE760E" w:rsidP="00CE760E">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de Investimentos no Exterior - Art. 9°-A</w:t>
            </w:r>
          </w:p>
        </w:tc>
        <w:tc>
          <w:tcPr>
            <w:tcW w:w="760" w:type="dxa"/>
            <w:tcBorders>
              <w:top w:val="nil"/>
              <w:left w:val="nil"/>
              <w:bottom w:val="single" w:sz="8" w:space="0" w:color="auto"/>
              <w:right w:val="single" w:sz="8" w:space="0" w:color="auto"/>
            </w:tcBorders>
            <w:shd w:val="clear" w:color="000000" w:fill="D9D9D9"/>
            <w:noWrap/>
            <w:vAlign w:val="center"/>
            <w:hideMark/>
          </w:tcPr>
          <w:p w14:paraId="35F1C1FF" w14:textId="77777777"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r w:rsidRPr="00297E43">
              <w:rPr>
                <w:rFonts w:ascii="Calibri" w:eastAsia="Times New Roman" w:hAnsi="Calibri" w:cs="Times New Roman"/>
                <w:b/>
                <w:bCs/>
                <w:color w:val="auto"/>
                <w:sz w:val="11"/>
                <w:szCs w:val="11"/>
                <w:lang w:eastAsia="pt-BR"/>
              </w:rPr>
              <w:t>10,00%</w:t>
            </w:r>
          </w:p>
        </w:tc>
        <w:tc>
          <w:tcPr>
            <w:tcW w:w="1106" w:type="dxa"/>
            <w:tcBorders>
              <w:top w:val="nil"/>
              <w:left w:val="nil"/>
              <w:bottom w:val="single" w:sz="8" w:space="0" w:color="auto"/>
              <w:right w:val="single" w:sz="4" w:space="0" w:color="auto"/>
            </w:tcBorders>
            <w:shd w:val="clear" w:color="000000" w:fill="D9D9D9"/>
            <w:noWrap/>
            <w:vAlign w:val="center"/>
          </w:tcPr>
          <w:p w14:paraId="16AC1CFF" w14:textId="3FBBCC3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single" w:sz="8" w:space="0" w:color="auto"/>
              <w:right w:val="single" w:sz="8" w:space="0" w:color="auto"/>
            </w:tcBorders>
            <w:shd w:val="clear" w:color="000000" w:fill="D9D9D9"/>
            <w:noWrap/>
            <w:vAlign w:val="center"/>
          </w:tcPr>
          <w:p w14:paraId="63E10F71" w14:textId="13CD22C6"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0" w:type="auto"/>
            <w:tcBorders>
              <w:top w:val="nil"/>
              <w:left w:val="nil"/>
              <w:bottom w:val="nil"/>
              <w:right w:val="nil"/>
            </w:tcBorders>
            <w:shd w:val="clear" w:color="auto" w:fill="auto"/>
            <w:noWrap/>
            <w:vAlign w:val="center"/>
          </w:tcPr>
          <w:p w14:paraId="4C1A53B7" w14:textId="77777777" w:rsidR="00CE760E" w:rsidRPr="00297E43" w:rsidRDefault="00CE760E" w:rsidP="00CE760E">
            <w:pPr>
              <w:spacing w:after="0" w:line="240" w:lineRule="auto"/>
              <w:jc w:val="center"/>
              <w:rPr>
                <w:rFonts w:ascii="Calibri" w:eastAsia="Times New Roman" w:hAnsi="Calibri" w:cs="Times New Roman"/>
                <w:color w:val="auto"/>
                <w:sz w:val="11"/>
                <w:szCs w:val="11"/>
                <w:lang w:eastAsia="pt-BR"/>
              </w:rPr>
            </w:pPr>
          </w:p>
        </w:tc>
        <w:tc>
          <w:tcPr>
            <w:tcW w:w="712" w:type="dxa"/>
            <w:tcBorders>
              <w:top w:val="nil"/>
              <w:left w:val="single" w:sz="8" w:space="0" w:color="auto"/>
              <w:bottom w:val="single" w:sz="8" w:space="0" w:color="auto"/>
              <w:right w:val="single" w:sz="4" w:space="0" w:color="auto"/>
            </w:tcBorders>
            <w:shd w:val="clear" w:color="000000" w:fill="D9D9D9"/>
            <w:noWrap/>
            <w:vAlign w:val="center"/>
          </w:tcPr>
          <w:p w14:paraId="290A8260" w14:textId="452411D6"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p>
        </w:tc>
        <w:tc>
          <w:tcPr>
            <w:tcW w:w="0" w:type="auto"/>
            <w:tcBorders>
              <w:top w:val="nil"/>
              <w:left w:val="nil"/>
              <w:bottom w:val="single" w:sz="8" w:space="0" w:color="auto"/>
              <w:right w:val="single" w:sz="4" w:space="0" w:color="auto"/>
            </w:tcBorders>
            <w:shd w:val="clear" w:color="000000" w:fill="D9D9D9"/>
            <w:noWrap/>
            <w:vAlign w:val="center"/>
          </w:tcPr>
          <w:p w14:paraId="13387020" w14:textId="5ED24EC0"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p>
        </w:tc>
        <w:tc>
          <w:tcPr>
            <w:tcW w:w="0" w:type="auto"/>
            <w:tcBorders>
              <w:top w:val="nil"/>
              <w:left w:val="nil"/>
              <w:bottom w:val="single" w:sz="8" w:space="0" w:color="auto"/>
              <w:right w:val="single" w:sz="8" w:space="0" w:color="auto"/>
            </w:tcBorders>
            <w:shd w:val="clear" w:color="000000" w:fill="D9D9D9"/>
            <w:noWrap/>
            <w:vAlign w:val="center"/>
          </w:tcPr>
          <w:p w14:paraId="77322788" w14:textId="5F4E6DAC" w:rsidR="00CE760E" w:rsidRPr="00297E43" w:rsidRDefault="00CE760E" w:rsidP="00CE760E">
            <w:pPr>
              <w:spacing w:after="0" w:line="240" w:lineRule="auto"/>
              <w:jc w:val="center"/>
              <w:rPr>
                <w:rFonts w:ascii="Calibri" w:eastAsia="Times New Roman" w:hAnsi="Calibri" w:cs="Times New Roman"/>
                <w:b/>
                <w:bCs/>
                <w:color w:val="auto"/>
                <w:sz w:val="11"/>
                <w:szCs w:val="11"/>
                <w:lang w:eastAsia="pt-BR"/>
              </w:rPr>
            </w:pPr>
          </w:p>
        </w:tc>
      </w:tr>
      <w:tr w:rsidR="00297E43" w:rsidRPr="00297E43" w14:paraId="117BF28D" w14:textId="77777777" w:rsidTr="00F14991">
        <w:trPr>
          <w:trHeight w:val="315"/>
        </w:trPr>
        <w:tc>
          <w:tcPr>
            <w:tcW w:w="0" w:type="auto"/>
            <w:tcBorders>
              <w:top w:val="nil"/>
              <w:left w:val="nil"/>
              <w:bottom w:val="nil"/>
              <w:right w:val="nil"/>
            </w:tcBorders>
            <w:shd w:val="clear" w:color="auto" w:fill="auto"/>
            <w:noWrap/>
            <w:vAlign w:val="bottom"/>
            <w:hideMark/>
          </w:tcPr>
          <w:p w14:paraId="1D9FF369" w14:textId="77777777" w:rsidR="00CE760E" w:rsidRPr="00297E43" w:rsidRDefault="00CE760E" w:rsidP="00CE760E">
            <w:pPr>
              <w:spacing w:after="0" w:line="240" w:lineRule="auto"/>
              <w:jc w:val="center"/>
              <w:rPr>
                <w:rFonts w:ascii="Calibri" w:eastAsia="Times New Roman" w:hAnsi="Calibri" w:cs="Times New Roman"/>
                <w:b/>
                <w:bCs/>
                <w:color w:val="auto"/>
                <w:sz w:val="12"/>
                <w:szCs w:val="16"/>
                <w:lang w:eastAsia="pt-BR"/>
              </w:rPr>
            </w:pPr>
          </w:p>
        </w:tc>
        <w:tc>
          <w:tcPr>
            <w:tcW w:w="404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C49B280" w14:textId="77777777" w:rsidR="00CE760E" w:rsidRPr="00297E43" w:rsidRDefault="00CE760E" w:rsidP="00CE760E">
            <w:pPr>
              <w:spacing w:after="0" w:line="240" w:lineRule="auto"/>
              <w:jc w:val="center"/>
              <w:rPr>
                <w:rFonts w:ascii="Calibri" w:eastAsia="Times New Roman" w:hAnsi="Calibri" w:cs="Times New Roman"/>
                <w:b/>
                <w:bCs/>
                <w:color w:val="auto"/>
                <w:sz w:val="12"/>
                <w:lang w:eastAsia="pt-BR"/>
              </w:rPr>
            </w:pPr>
            <w:r w:rsidRPr="00297E43">
              <w:rPr>
                <w:rFonts w:ascii="Calibri" w:eastAsia="Times New Roman" w:hAnsi="Calibri" w:cs="Times New Roman"/>
                <w:b/>
                <w:bCs/>
                <w:color w:val="auto"/>
                <w:sz w:val="12"/>
                <w:lang w:eastAsia="pt-BR"/>
              </w:rPr>
              <w:t>Total da Carteira de Investimentos</w:t>
            </w:r>
          </w:p>
        </w:tc>
        <w:tc>
          <w:tcPr>
            <w:tcW w:w="1106" w:type="dxa"/>
            <w:tcBorders>
              <w:top w:val="nil"/>
              <w:left w:val="nil"/>
              <w:bottom w:val="single" w:sz="8" w:space="0" w:color="auto"/>
              <w:right w:val="single" w:sz="4" w:space="0" w:color="auto"/>
            </w:tcBorders>
            <w:shd w:val="clear" w:color="000000" w:fill="D9D9D9"/>
            <w:noWrap/>
            <w:vAlign w:val="center"/>
          </w:tcPr>
          <w:p w14:paraId="5251AA8C" w14:textId="3A69B377" w:rsidR="00CE760E" w:rsidRPr="00297E43" w:rsidRDefault="001152B6" w:rsidP="00CE760E">
            <w:pPr>
              <w:spacing w:after="0" w:line="240" w:lineRule="auto"/>
              <w:jc w:val="center"/>
              <w:rPr>
                <w:rFonts w:ascii="Calibri" w:eastAsia="Times New Roman" w:hAnsi="Calibri" w:cs="Times New Roman"/>
                <w:color w:val="auto"/>
                <w:sz w:val="12"/>
                <w:lang w:eastAsia="pt-BR"/>
              </w:rPr>
            </w:pPr>
            <w:r w:rsidRPr="00297E43">
              <w:rPr>
                <w:rFonts w:ascii="Calibri" w:eastAsia="Times New Roman" w:hAnsi="Calibri" w:cs="Times New Roman"/>
                <w:color w:val="auto"/>
                <w:sz w:val="12"/>
                <w:lang w:eastAsia="pt-BR"/>
              </w:rPr>
              <w:t>55.846.908,62</w:t>
            </w:r>
          </w:p>
        </w:tc>
        <w:tc>
          <w:tcPr>
            <w:tcW w:w="0" w:type="auto"/>
            <w:tcBorders>
              <w:top w:val="nil"/>
              <w:left w:val="nil"/>
              <w:bottom w:val="single" w:sz="8" w:space="0" w:color="auto"/>
              <w:right w:val="single" w:sz="8" w:space="0" w:color="auto"/>
            </w:tcBorders>
            <w:shd w:val="clear" w:color="000000" w:fill="D9D9D9"/>
            <w:noWrap/>
            <w:vAlign w:val="center"/>
          </w:tcPr>
          <w:p w14:paraId="220892BB" w14:textId="50E2AE4C" w:rsidR="00CE760E" w:rsidRPr="00297E43" w:rsidRDefault="00CE760E" w:rsidP="00CE760E">
            <w:pPr>
              <w:spacing w:after="0" w:line="240" w:lineRule="auto"/>
              <w:jc w:val="center"/>
              <w:rPr>
                <w:rFonts w:ascii="Calibri" w:eastAsia="Times New Roman" w:hAnsi="Calibri" w:cs="Times New Roman"/>
                <w:color w:val="auto"/>
                <w:sz w:val="12"/>
                <w:lang w:eastAsia="pt-BR"/>
              </w:rPr>
            </w:pPr>
          </w:p>
        </w:tc>
        <w:tc>
          <w:tcPr>
            <w:tcW w:w="0" w:type="auto"/>
            <w:tcBorders>
              <w:top w:val="nil"/>
              <w:left w:val="nil"/>
              <w:bottom w:val="nil"/>
              <w:right w:val="nil"/>
            </w:tcBorders>
            <w:shd w:val="clear" w:color="auto" w:fill="auto"/>
            <w:noWrap/>
            <w:vAlign w:val="bottom"/>
          </w:tcPr>
          <w:p w14:paraId="3DF1C98E" w14:textId="77777777" w:rsidR="00CE760E" w:rsidRPr="00297E43" w:rsidRDefault="00CE760E" w:rsidP="00CE760E">
            <w:pPr>
              <w:spacing w:after="0" w:line="240" w:lineRule="auto"/>
              <w:jc w:val="center"/>
              <w:rPr>
                <w:rFonts w:ascii="Calibri" w:eastAsia="Times New Roman" w:hAnsi="Calibri" w:cs="Times New Roman"/>
                <w:color w:val="auto"/>
                <w:sz w:val="12"/>
                <w:lang w:eastAsia="pt-BR"/>
              </w:rPr>
            </w:pPr>
          </w:p>
        </w:tc>
        <w:tc>
          <w:tcPr>
            <w:tcW w:w="712" w:type="dxa"/>
            <w:tcBorders>
              <w:top w:val="nil"/>
              <w:left w:val="single" w:sz="8" w:space="0" w:color="auto"/>
              <w:bottom w:val="single" w:sz="8" w:space="0" w:color="auto"/>
              <w:right w:val="single" w:sz="4" w:space="0" w:color="auto"/>
            </w:tcBorders>
            <w:shd w:val="clear" w:color="000000" w:fill="D9D9D9"/>
            <w:noWrap/>
            <w:vAlign w:val="center"/>
          </w:tcPr>
          <w:p w14:paraId="7FCE1A35" w14:textId="2A3BBD87" w:rsidR="00CE760E" w:rsidRPr="00297E43" w:rsidRDefault="00CE760E" w:rsidP="00CE760E">
            <w:pPr>
              <w:spacing w:after="0" w:line="240" w:lineRule="auto"/>
              <w:jc w:val="center"/>
              <w:rPr>
                <w:rFonts w:ascii="Calibri" w:eastAsia="Times New Roman" w:hAnsi="Calibri" w:cs="Times New Roman"/>
                <w:b/>
                <w:bCs/>
                <w:color w:val="auto"/>
                <w:sz w:val="12"/>
                <w:lang w:eastAsia="pt-BR"/>
              </w:rPr>
            </w:pPr>
          </w:p>
        </w:tc>
        <w:tc>
          <w:tcPr>
            <w:tcW w:w="0" w:type="auto"/>
            <w:tcBorders>
              <w:top w:val="nil"/>
              <w:left w:val="nil"/>
              <w:bottom w:val="single" w:sz="8" w:space="0" w:color="auto"/>
              <w:right w:val="single" w:sz="4" w:space="0" w:color="auto"/>
            </w:tcBorders>
            <w:shd w:val="clear" w:color="000000" w:fill="D9D9D9"/>
            <w:noWrap/>
            <w:vAlign w:val="center"/>
          </w:tcPr>
          <w:p w14:paraId="20D06A5A" w14:textId="73BCBA15" w:rsidR="00CE760E" w:rsidRPr="00297E43" w:rsidRDefault="00CE760E" w:rsidP="00CE760E">
            <w:pPr>
              <w:spacing w:after="0" w:line="240" w:lineRule="auto"/>
              <w:jc w:val="center"/>
              <w:rPr>
                <w:rFonts w:ascii="Calibri" w:eastAsia="Times New Roman" w:hAnsi="Calibri" w:cs="Times New Roman"/>
                <w:b/>
                <w:bCs/>
                <w:color w:val="auto"/>
                <w:sz w:val="12"/>
                <w:lang w:eastAsia="pt-BR"/>
              </w:rPr>
            </w:pPr>
          </w:p>
        </w:tc>
        <w:tc>
          <w:tcPr>
            <w:tcW w:w="0" w:type="auto"/>
            <w:tcBorders>
              <w:top w:val="nil"/>
              <w:left w:val="nil"/>
              <w:bottom w:val="single" w:sz="8" w:space="0" w:color="auto"/>
              <w:right w:val="single" w:sz="8" w:space="0" w:color="auto"/>
            </w:tcBorders>
            <w:shd w:val="clear" w:color="000000" w:fill="D9D9D9"/>
            <w:noWrap/>
            <w:vAlign w:val="center"/>
          </w:tcPr>
          <w:p w14:paraId="768CC55A" w14:textId="22961BFF" w:rsidR="00CE760E" w:rsidRPr="00297E43" w:rsidRDefault="00CE760E" w:rsidP="00CE760E">
            <w:pPr>
              <w:spacing w:after="0" w:line="240" w:lineRule="auto"/>
              <w:jc w:val="center"/>
              <w:rPr>
                <w:rFonts w:ascii="Calibri" w:eastAsia="Times New Roman" w:hAnsi="Calibri" w:cs="Times New Roman"/>
                <w:b/>
                <w:bCs/>
                <w:color w:val="auto"/>
                <w:sz w:val="12"/>
                <w:lang w:eastAsia="pt-BR"/>
              </w:rPr>
            </w:pPr>
          </w:p>
        </w:tc>
      </w:tr>
    </w:tbl>
    <w:p w14:paraId="36875C27" w14:textId="2631582E" w:rsidR="00F14991" w:rsidRPr="00297E43" w:rsidRDefault="00F14991" w:rsidP="006B0FB7">
      <w:pPr>
        <w:spacing w:beforeLines="120" w:before="288" w:line="240" w:lineRule="auto"/>
        <w:rPr>
          <w:bCs/>
          <w:color w:val="auto"/>
          <w:szCs w:val="20"/>
        </w:rPr>
      </w:pPr>
    </w:p>
    <w:p w14:paraId="4E10A6AA" w14:textId="77777777" w:rsidR="00F14991" w:rsidRPr="00297E43" w:rsidRDefault="00F14991">
      <w:pPr>
        <w:jc w:val="left"/>
        <w:rPr>
          <w:bCs/>
          <w:color w:val="auto"/>
          <w:szCs w:val="20"/>
        </w:rPr>
      </w:pPr>
      <w:r w:rsidRPr="00297E43">
        <w:rPr>
          <w:bCs/>
          <w:color w:val="auto"/>
          <w:szCs w:val="20"/>
        </w:rPr>
        <w:br w:type="page"/>
      </w:r>
    </w:p>
    <w:p w14:paraId="6FD6AC4F" w14:textId="42238971" w:rsidR="00F14991" w:rsidRPr="00297E43" w:rsidRDefault="00F14991" w:rsidP="00F14991">
      <w:pPr>
        <w:spacing w:beforeLines="120" w:before="288" w:after="0" w:line="240" w:lineRule="auto"/>
        <w:jc w:val="center"/>
        <w:rPr>
          <w:b/>
          <w:bCs/>
          <w:color w:val="auto"/>
          <w:szCs w:val="20"/>
        </w:rPr>
      </w:pPr>
      <w:r w:rsidRPr="00297E43">
        <w:rPr>
          <w:b/>
          <w:bCs/>
          <w:color w:val="auto"/>
          <w:szCs w:val="20"/>
        </w:rPr>
        <w:lastRenderedPageBreak/>
        <w:t>Alocação Estratégica para os pr</w:t>
      </w:r>
    </w:p>
    <w:tbl>
      <w:tblPr>
        <w:tblW w:w="5365" w:type="pct"/>
        <w:tblCellMar>
          <w:left w:w="70" w:type="dxa"/>
          <w:right w:w="70" w:type="dxa"/>
        </w:tblCellMar>
        <w:tblLook w:val="04A0" w:firstRow="1" w:lastRow="0" w:firstColumn="1" w:lastColumn="0" w:noHBand="0" w:noVBand="1"/>
      </w:tblPr>
      <w:tblGrid>
        <w:gridCol w:w="737"/>
        <w:gridCol w:w="3340"/>
        <w:gridCol w:w="937"/>
        <w:gridCol w:w="1117"/>
        <w:gridCol w:w="1034"/>
        <w:gridCol w:w="150"/>
        <w:gridCol w:w="947"/>
        <w:gridCol w:w="951"/>
        <w:gridCol w:w="670"/>
      </w:tblGrid>
      <w:tr w:rsidR="00297E43" w:rsidRPr="00297E43" w14:paraId="18DD46FD" w14:textId="77777777" w:rsidTr="001152B6">
        <w:trPr>
          <w:gridAfter w:val="1"/>
          <w:trHeight w:val="555"/>
        </w:trPr>
        <w:tc>
          <w:tcPr>
            <w:tcW w:w="373" w:type="pct"/>
            <w:tcBorders>
              <w:top w:val="nil"/>
              <w:left w:val="nil"/>
              <w:bottom w:val="nil"/>
              <w:right w:val="nil"/>
            </w:tcBorders>
            <w:shd w:val="clear" w:color="auto" w:fill="auto"/>
            <w:noWrap/>
            <w:vAlign w:val="bottom"/>
            <w:hideMark/>
          </w:tcPr>
          <w:p w14:paraId="7808BF4C"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4"/>
                <w:lang w:eastAsia="pt-BR"/>
              </w:rPr>
            </w:pPr>
          </w:p>
        </w:tc>
        <w:tc>
          <w:tcPr>
            <w:tcW w:w="1690" w:type="pct"/>
            <w:tcBorders>
              <w:top w:val="nil"/>
              <w:left w:val="nil"/>
              <w:bottom w:val="nil"/>
              <w:right w:val="nil"/>
            </w:tcBorders>
            <w:shd w:val="clear" w:color="auto" w:fill="auto"/>
            <w:noWrap/>
            <w:vAlign w:val="bottom"/>
            <w:hideMark/>
          </w:tcPr>
          <w:p w14:paraId="029FB8E1"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0"/>
                <w:lang w:eastAsia="pt-BR"/>
              </w:rPr>
            </w:pPr>
          </w:p>
        </w:tc>
        <w:tc>
          <w:tcPr>
            <w:tcW w:w="474" w:type="pct"/>
            <w:tcBorders>
              <w:top w:val="nil"/>
              <w:left w:val="nil"/>
              <w:bottom w:val="nil"/>
              <w:right w:val="nil"/>
            </w:tcBorders>
            <w:shd w:val="clear" w:color="auto" w:fill="auto"/>
            <w:noWrap/>
            <w:vAlign w:val="bottom"/>
            <w:hideMark/>
          </w:tcPr>
          <w:p w14:paraId="4484435D"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0"/>
                <w:lang w:eastAsia="pt-BR"/>
              </w:rPr>
            </w:pPr>
          </w:p>
        </w:tc>
        <w:tc>
          <w:tcPr>
            <w:tcW w:w="565" w:type="pct"/>
            <w:tcBorders>
              <w:top w:val="nil"/>
              <w:left w:val="nil"/>
              <w:bottom w:val="nil"/>
              <w:right w:val="nil"/>
            </w:tcBorders>
            <w:shd w:val="clear" w:color="auto" w:fill="auto"/>
            <w:noWrap/>
            <w:vAlign w:val="bottom"/>
            <w:hideMark/>
          </w:tcPr>
          <w:p w14:paraId="21192666"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0"/>
                <w:lang w:eastAsia="pt-BR"/>
              </w:rPr>
            </w:pPr>
          </w:p>
        </w:tc>
        <w:tc>
          <w:tcPr>
            <w:tcW w:w="523" w:type="pct"/>
            <w:tcBorders>
              <w:top w:val="nil"/>
              <w:left w:val="nil"/>
              <w:bottom w:val="nil"/>
              <w:right w:val="nil"/>
            </w:tcBorders>
            <w:shd w:val="clear" w:color="auto" w:fill="auto"/>
            <w:noWrap/>
            <w:vAlign w:val="bottom"/>
            <w:hideMark/>
          </w:tcPr>
          <w:p w14:paraId="5CE2D8D7"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0"/>
                <w:lang w:eastAsia="pt-BR"/>
              </w:rPr>
            </w:pPr>
          </w:p>
        </w:tc>
        <w:tc>
          <w:tcPr>
            <w:tcW w:w="76" w:type="pct"/>
            <w:tcBorders>
              <w:top w:val="nil"/>
              <w:left w:val="nil"/>
              <w:bottom w:val="nil"/>
              <w:right w:val="nil"/>
            </w:tcBorders>
            <w:shd w:val="clear" w:color="auto" w:fill="auto"/>
            <w:noWrap/>
            <w:vAlign w:val="bottom"/>
            <w:hideMark/>
          </w:tcPr>
          <w:p w14:paraId="05A59C61" w14:textId="77777777" w:rsidR="00F14991" w:rsidRPr="00297E43" w:rsidRDefault="00F14991" w:rsidP="00F14991">
            <w:pPr>
              <w:spacing w:after="0" w:line="240" w:lineRule="auto"/>
              <w:jc w:val="left"/>
              <w:rPr>
                <w:rFonts w:ascii="Times New Roman" w:eastAsia="Times New Roman" w:hAnsi="Times New Roman" w:cs="Times New Roman"/>
                <w:color w:val="auto"/>
                <w:sz w:val="12"/>
                <w:szCs w:val="20"/>
                <w:lang w:eastAsia="pt-BR"/>
              </w:rPr>
            </w:pPr>
          </w:p>
        </w:tc>
        <w:tc>
          <w:tcPr>
            <w:tcW w:w="960"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D6CFAC6"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Estratégia de Alocação - para os próximos cinco exercícios</w:t>
            </w:r>
          </w:p>
        </w:tc>
      </w:tr>
      <w:tr w:rsidR="00297E43" w:rsidRPr="00297E43" w14:paraId="0DB8FA0B" w14:textId="77777777" w:rsidTr="001152B6">
        <w:trPr>
          <w:gridAfter w:val="1"/>
          <w:trHeight w:val="690"/>
        </w:trPr>
        <w:tc>
          <w:tcPr>
            <w:tcW w:w="373"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BF90F34" w14:textId="77777777" w:rsidR="00F14991" w:rsidRPr="00297E43" w:rsidRDefault="00F14991" w:rsidP="00F14991">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Segmento</w:t>
            </w:r>
          </w:p>
        </w:tc>
        <w:tc>
          <w:tcPr>
            <w:tcW w:w="1690" w:type="pct"/>
            <w:tcBorders>
              <w:top w:val="single" w:sz="8" w:space="0" w:color="auto"/>
              <w:left w:val="nil"/>
              <w:bottom w:val="single" w:sz="8" w:space="0" w:color="auto"/>
              <w:right w:val="single" w:sz="4" w:space="0" w:color="auto"/>
            </w:tcBorders>
            <w:shd w:val="clear" w:color="000000" w:fill="D9D9D9"/>
            <w:vAlign w:val="center"/>
            <w:hideMark/>
          </w:tcPr>
          <w:p w14:paraId="1CC9400B"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Tipo de Ativo</w:t>
            </w:r>
          </w:p>
        </w:tc>
        <w:tc>
          <w:tcPr>
            <w:tcW w:w="474" w:type="pct"/>
            <w:tcBorders>
              <w:top w:val="single" w:sz="8" w:space="0" w:color="auto"/>
              <w:left w:val="nil"/>
              <w:bottom w:val="single" w:sz="8" w:space="0" w:color="auto"/>
              <w:right w:val="single" w:sz="8" w:space="0" w:color="auto"/>
            </w:tcBorders>
            <w:shd w:val="clear" w:color="000000" w:fill="D9D9D9"/>
            <w:vAlign w:val="center"/>
            <w:hideMark/>
          </w:tcPr>
          <w:p w14:paraId="6FAAAD1A"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da Resolução CMN %</w:t>
            </w:r>
          </w:p>
        </w:tc>
        <w:tc>
          <w:tcPr>
            <w:tcW w:w="565" w:type="pct"/>
            <w:tcBorders>
              <w:top w:val="single" w:sz="8" w:space="0" w:color="auto"/>
              <w:left w:val="nil"/>
              <w:bottom w:val="single" w:sz="8" w:space="0" w:color="auto"/>
              <w:right w:val="single" w:sz="4" w:space="0" w:color="auto"/>
            </w:tcBorders>
            <w:shd w:val="clear" w:color="000000" w:fill="D9D9D9"/>
            <w:vAlign w:val="center"/>
            <w:hideMark/>
          </w:tcPr>
          <w:p w14:paraId="01BFA6C0"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Posição Atual da Carteira (R$) - XX/XX</w:t>
            </w:r>
          </w:p>
        </w:tc>
        <w:tc>
          <w:tcPr>
            <w:tcW w:w="523" w:type="pct"/>
            <w:tcBorders>
              <w:top w:val="single" w:sz="8" w:space="0" w:color="auto"/>
              <w:left w:val="nil"/>
              <w:bottom w:val="single" w:sz="8" w:space="0" w:color="auto"/>
              <w:right w:val="single" w:sz="8" w:space="0" w:color="auto"/>
            </w:tcBorders>
            <w:shd w:val="clear" w:color="000000" w:fill="D9D9D9"/>
            <w:vAlign w:val="center"/>
            <w:hideMark/>
          </w:tcPr>
          <w:p w14:paraId="306CC13C"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Posição Atual da Carteira (%) - XX/XX</w:t>
            </w:r>
          </w:p>
        </w:tc>
        <w:tc>
          <w:tcPr>
            <w:tcW w:w="76" w:type="pct"/>
            <w:tcBorders>
              <w:top w:val="nil"/>
              <w:left w:val="nil"/>
              <w:bottom w:val="nil"/>
              <w:right w:val="nil"/>
            </w:tcBorders>
            <w:shd w:val="clear" w:color="auto" w:fill="auto"/>
            <w:vAlign w:val="center"/>
            <w:hideMark/>
          </w:tcPr>
          <w:p w14:paraId="573DD817"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p>
        </w:tc>
        <w:tc>
          <w:tcPr>
            <w:tcW w:w="479" w:type="pct"/>
            <w:tcBorders>
              <w:top w:val="nil"/>
              <w:left w:val="single" w:sz="8" w:space="0" w:color="auto"/>
              <w:bottom w:val="single" w:sz="8" w:space="0" w:color="auto"/>
              <w:right w:val="single" w:sz="4" w:space="0" w:color="auto"/>
            </w:tcBorders>
            <w:shd w:val="clear" w:color="000000" w:fill="D9D9D9"/>
            <w:vAlign w:val="center"/>
            <w:hideMark/>
          </w:tcPr>
          <w:p w14:paraId="7A97CB29"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Inferior (%)</w:t>
            </w:r>
          </w:p>
        </w:tc>
        <w:tc>
          <w:tcPr>
            <w:tcW w:w="481" w:type="pct"/>
            <w:tcBorders>
              <w:top w:val="nil"/>
              <w:left w:val="nil"/>
              <w:bottom w:val="single" w:sz="8" w:space="0" w:color="auto"/>
              <w:right w:val="single" w:sz="8" w:space="0" w:color="auto"/>
            </w:tcBorders>
            <w:shd w:val="clear" w:color="000000" w:fill="D9D9D9"/>
            <w:vAlign w:val="center"/>
            <w:hideMark/>
          </w:tcPr>
          <w:p w14:paraId="2C59D7CF" w14:textId="77777777" w:rsidR="00F14991" w:rsidRPr="00297E43" w:rsidRDefault="00F14991" w:rsidP="00F14991">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Superior (%)</w:t>
            </w:r>
          </w:p>
        </w:tc>
      </w:tr>
      <w:tr w:rsidR="00297E43" w:rsidRPr="00297E43" w14:paraId="3C6CFBF7" w14:textId="77777777" w:rsidTr="001152B6">
        <w:trPr>
          <w:gridAfter w:val="1"/>
          <w:trHeight w:val="300"/>
        </w:trPr>
        <w:tc>
          <w:tcPr>
            <w:tcW w:w="37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C5D234F" w14:textId="77777777" w:rsidR="001152B6" w:rsidRPr="00297E43" w:rsidRDefault="001152B6" w:rsidP="001152B6">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Renda Fixa</w:t>
            </w:r>
          </w:p>
        </w:tc>
        <w:tc>
          <w:tcPr>
            <w:tcW w:w="1690" w:type="pct"/>
            <w:tcBorders>
              <w:top w:val="nil"/>
              <w:left w:val="nil"/>
              <w:bottom w:val="single" w:sz="4" w:space="0" w:color="auto"/>
              <w:right w:val="single" w:sz="4" w:space="0" w:color="auto"/>
            </w:tcBorders>
            <w:shd w:val="clear" w:color="auto" w:fill="auto"/>
            <w:noWrap/>
            <w:vAlign w:val="center"/>
            <w:hideMark/>
          </w:tcPr>
          <w:p w14:paraId="6C2040B9"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Títulos Públicos de emissão do TN – Art. 7º, I, “a”</w:t>
            </w:r>
          </w:p>
        </w:tc>
        <w:tc>
          <w:tcPr>
            <w:tcW w:w="474" w:type="pct"/>
            <w:tcBorders>
              <w:top w:val="nil"/>
              <w:left w:val="nil"/>
              <w:bottom w:val="single" w:sz="4" w:space="0" w:color="auto"/>
              <w:right w:val="single" w:sz="8" w:space="0" w:color="auto"/>
            </w:tcBorders>
            <w:shd w:val="clear" w:color="auto" w:fill="auto"/>
            <w:noWrap/>
            <w:vAlign w:val="center"/>
            <w:hideMark/>
          </w:tcPr>
          <w:p w14:paraId="2C5FEDCC"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100,00%</w:t>
            </w:r>
          </w:p>
        </w:tc>
        <w:tc>
          <w:tcPr>
            <w:tcW w:w="565" w:type="pct"/>
            <w:tcBorders>
              <w:top w:val="nil"/>
              <w:left w:val="nil"/>
              <w:bottom w:val="single" w:sz="4" w:space="0" w:color="auto"/>
              <w:right w:val="single" w:sz="4" w:space="0" w:color="auto"/>
            </w:tcBorders>
            <w:shd w:val="clear" w:color="auto" w:fill="auto"/>
            <w:noWrap/>
            <w:vAlign w:val="center"/>
          </w:tcPr>
          <w:p w14:paraId="773276DC" w14:textId="5B604D4A"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3.967.165,32</w:t>
            </w:r>
          </w:p>
        </w:tc>
        <w:tc>
          <w:tcPr>
            <w:tcW w:w="523" w:type="pct"/>
            <w:tcBorders>
              <w:top w:val="nil"/>
              <w:left w:val="nil"/>
              <w:bottom w:val="single" w:sz="4" w:space="0" w:color="auto"/>
              <w:right w:val="single" w:sz="8" w:space="0" w:color="auto"/>
            </w:tcBorders>
            <w:shd w:val="clear" w:color="auto" w:fill="auto"/>
            <w:noWrap/>
            <w:vAlign w:val="center"/>
          </w:tcPr>
          <w:p w14:paraId="6606C843" w14:textId="3AEC960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7,10</w:t>
            </w:r>
          </w:p>
        </w:tc>
        <w:tc>
          <w:tcPr>
            <w:tcW w:w="76" w:type="pct"/>
            <w:tcBorders>
              <w:top w:val="nil"/>
              <w:left w:val="nil"/>
              <w:bottom w:val="nil"/>
              <w:right w:val="nil"/>
            </w:tcBorders>
            <w:shd w:val="clear" w:color="auto" w:fill="auto"/>
            <w:noWrap/>
            <w:vAlign w:val="center"/>
          </w:tcPr>
          <w:p w14:paraId="2D3D9360"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E4B85F8" w14:textId="1B6E64F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225F487F" w14:textId="5F18E47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10,00</w:t>
            </w:r>
          </w:p>
        </w:tc>
      </w:tr>
      <w:tr w:rsidR="00297E43" w:rsidRPr="00297E43" w14:paraId="4EF846D8"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3C0B05AD"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0DE59A9D"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100% títulos TN - Art. 7º, I, "b"</w:t>
            </w:r>
          </w:p>
        </w:tc>
        <w:tc>
          <w:tcPr>
            <w:tcW w:w="474" w:type="pct"/>
            <w:tcBorders>
              <w:top w:val="nil"/>
              <w:left w:val="nil"/>
              <w:bottom w:val="single" w:sz="4" w:space="0" w:color="auto"/>
              <w:right w:val="single" w:sz="8" w:space="0" w:color="auto"/>
            </w:tcBorders>
            <w:shd w:val="clear" w:color="auto" w:fill="auto"/>
            <w:noWrap/>
            <w:vAlign w:val="center"/>
            <w:hideMark/>
          </w:tcPr>
          <w:p w14:paraId="3C692791"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100,00%</w:t>
            </w:r>
          </w:p>
        </w:tc>
        <w:tc>
          <w:tcPr>
            <w:tcW w:w="565" w:type="pct"/>
            <w:tcBorders>
              <w:top w:val="nil"/>
              <w:left w:val="nil"/>
              <w:bottom w:val="single" w:sz="4" w:space="0" w:color="auto"/>
              <w:right w:val="single" w:sz="4" w:space="0" w:color="auto"/>
            </w:tcBorders>
            <w:shd w:val="clear" w:color="auto" w:fill="auto"/>
            <w:noWrap/>
            <w:vAlign w:val="center"/>
          </w:tcPr>
          <w:p w14:paraId="291FB7CD" w14:textId="188204C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27.756.110,53</w:t>
            </w:r>
          </w:p>
        </w:tc>
        <w:tc>
          <w:tcPr>
            <w:tcW w:w="523" w:type="pct"/>
            <w:tcBorders>
              <w:top w:val="nil"/>
              <w:left w:val="nil"/>
              <w:bottom w:val="single" w:sz="4" w:space="0" w:color="auto"/>
              <w:right w:val="single" w:sz="8" w:space="0" w:color="auto"/>
            </w:tcBorders>
            <w:shd w:val="clear" w:color="auto" w:fill="auto"/>
            <w:noWrap/>
            <w:vAlign w:val="center"/>
          </w:tcPr>
          <w:p w14:paraId="40DAE9F2" w14:textId="2145914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49,70</w:t>
            </w:r>
          </w:p>
        </w:tc>
        <w:tc>
          <w:tcPr>
            <w:tcW w:w="76" w:type="pct"/>
            <w:tcBorders>
              <w:top w:val="nil"/>
              <w:left w:val="nil"/>
              <w:bottom w:val="nil"/>
              <w:right w:val="nil"/>
            </w:tcBorders>
            <w:shd w:val="clear" w:color="auto" w:fill="auto"/>
            <w:noWrap/>
            <w:vAlign w:val="center"/>
          </w:tcPr>
          <w:p w14:paraId="294DC4C7"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782D44C" w14:textId="3CAC7C4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15,00</w:t>
            </w:r>
          </w:p>
        </w:tc>
        <w:tc>
          <w:tcPr>
            <w:tcW w:w="481" w:type="pct"/>
            <w:tcBorders>
              <w:top w:val="nil"/>
              <w:left w:val="nil"/>
              <w:bottom w:val="single" w:sz="4" w:space="0" w:color="auto"/>
              <w:right w:val="single" w:sz="8" w:space="0" w:color="auto"/>
            </w:tcBorders>
            <w:shd w:val="clear" w:color="000000" w:fill="F2F2F2"/>
            <w:noWrap/>
            <w:vAlign w:val="center"/>
          </w:tcPr>
          <w:p w14:paraId="61171E75" w14:textId="59014900"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100,00</w:t>
            </w:r>
          </w:p>
        </w:tc>
      </w:tr>
      <w:tr w:rsidR="00297E43" w:rsidRPr="00297E43" w14:paraId="57828E8A"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25C2AC3B"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38560C28"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- 100% Títulos Públicos - Art. 7°, I "c"</w:t>
            </w:r>
          </w:p>
        </w:tc>
        <w:tc>
          <w:tcPr>
            <w:tcW w:w="474" w:type="pct"/>
            <w:tcBorders>
              <w:top w:val="nil"/>
              <w:left w:val="nil"/>
              <w:bottom w:val="single" w:sz="4" w:space="0" w:color="auto"/>
              <w:right w:val="single" w:sz="8" w:space="0" w:color="auto"/>
            </w:tcBorders>
            <w:shd w:val="clear" w:color="auto" w:fill="auto"/>
            <w:noWrap/>
            <w:vAlign w:val="center"/>
            <w:hideMark/>
          </w:tcPr>
          <w:p w14:paraId="581D2143"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100,00%</w:t>
            </w:r>
          </w:p>
        </w:tc>
        <w:tc>
          <w:tcPr>
            <w:tcW w:w="565" w:type="pct"/>
            <w:tcBorders>
              <w:top w:val="nil"/>
              <w:left w:val="nil"/>
              <w:bottom w:val="single" w:sz="4" w:space="0" w:color="auto"/>
              <w:right w:val="single" w:sz="4" w:space="0" w:color="auto"/>
            </w:tcBorders>
            <w:shd w:val="clear" w:color="auto" w:fill="auto"/>
            <w:noWrap/>
            <w:vAlign w:val="center"/>
          </w:tcPr>
          <w:p w14:paraId="7091F329" w14:textId="782BE15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2A2A5459" w14:textId="2CD811B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34F295E7"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596D81E7" w14:textId="752523B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591D6397" w14:textId="7126B61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630D260C"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46A3398C"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7EE37B89"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Operações Compromissadas - Art. 7º, II</w:t>
            </w:r>
          </w:p>
        </w:tc>
        <w:tc>
          <w:tcPr>
            <w:tcW w:w="474" w:type="pct"/>
            <w:tcBorders>
              <w:top w:val="nil"/>
              <w:left w:val="nil"/>
              <w:bottom w:val="single" w:sz="4" w:space="0" w:color="auto"/>
              <w:right w:val="single" w:sz="8" w:space="0" w:color="auto"/>
            </w:tcBorders>
            <w:shd w:val="clear" w:color="auto" w:fill="auto"/>
            <w:noWrap/>
            <w:vAlign w:val="center"/>
            <w:hideMark/>
          </w:tcPr>
          <w:p w14:paraId="78072224"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single" w:sz="4" w:space="0" w:color="auto"/>
              <w:right w:val="single" w:sz="4" w:space="0" w:color="auto"/>
            </w:tcBorders>
            <w:shd w:val="clear" w:color="auto" w:fill="auto"/>
            <w:noWrap/>
            <w:vAlign w:val="center"/>
          </w:tcPr>
          <w:p w14:paraId="44B5A428" w14:textId="4EEA739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07676DB9" w14:textId="350D00F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25E907DC"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77DF387E" w14:textId="063EDF6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4987351B" w14:textId="46715E6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57405FED"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0A798104"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72572415"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Renda Fixa "Referenciado" - Art. 7º, III, Alínea “a”</w:t>
            </w:r>
          </w:p>
        </w:tc>
        <w:tc>
          <w:tcPr>
            <w:tcW w:w="474" w:type="pct"/>
            <w:tcBorders>
              <w:top w:val="nil"/>
              <w:left w:val="nil"/>
              <w:bottom w:val="single" w:sz="4" w:space="0" w:color="auto"/>
              <w:right w:val="single" w:sz="8" w:space="0" w:color="auto"/>
            </w:tcBorders>
            <w:shd w:val="clear" w:color="auto" w:fill="auto"/>
            <w:noWrap/>
            <w:vAlign w:val="center"/>
            <w:hideMark/>
          </w:tcPr>
          <w:p w14:paraId="14102B39"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60,00%</w:t>
            </w:r>
          </w:p>
        </w:tc>
        <w:tc>
          <w:tcPr>
            <w:tcW w:w="565" w:type="pct"/>
            <w:tcBorders>
              <w:top w:val="nil"/>
              <w:left w:val="nil"/>
              <w:bottom w:val="single" w:sz="4" w:space="0" w:color="auto"/>
              <w:right w:val="single" w:sz="4" w:space="0" w:color="auto"/>
            </w:tcBorders>
            <w:shd w:val="clear" w:color="auto" w:fill="auto"/>
            <w:noWrap/>
            <w:vAlign w:val="center"/>
          </w:tcPr>
          <w:p w14:paraId="4B56EB45" w14:textId="1C135D2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608C8D6E" w14:textId="1DB0A0B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0B1AAD39"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19742BA4" w14:textId="402822E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c>
          <w:tcPr>
            <w:tcW w:w="481" w:type="pct"/>
            <w:tcBorders>
              <w:top w:val="nil"/>
              <w:left w:val="nil"/>
              <w:bottom w:val="single" w:sz="4" w:space="0" w:color="auto"/>
              <w:right w:val="single" w:sz="8" w:space="0" w:color="auto"/>
            </w:tcBorders>
            <w:shd w:val="clear" w:color="000000" w:fill="F2F2F2"/>
            <w:noWrap/>
            <w:vAlign w:val="center"/>
          </w:tcPr>
          <w:p w14:paraId="18BAF471" w14:textId="215A5F7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60,00</w:t>
            </w:r>
          </w:p>
        </w:tc>
      </w:tr>
      <w:tr w:rsidR="00297E43" w:rsidRPr="00297E43" w14:paraId="6A7DB1C1"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5BACEEDF"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1454D0CF"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Renda Fixa "Referenciado" - Art. 7º, III, Alínea “b”</w:t>
            </w:r>
          </w:p>
        </w:tc>
        <w:tc>
          <w:tcPr>
            <w:tcW w:w="474" w:type="pct"/>
            <w:tcBorders>
              <w:top w:val="nil"/>
              <w:left w:val="nil"/>
              <w:bottom w:val="single" w:sz="4" w:space="0" w:color="auto"/>
              <w:right w:val="single" w:sz="8" w:space="0" w:color="auto"/>
            </w:tcBorders>
            <w:shd w:val="clear" w:color="auto" w:fill="auto"/>
            <w:noWrap/>
            <w:vAlign w:val="center"/>
            <w:hideMark/>
          </w:tcPr>
          <w:p w14:paraId="14DB48FA"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60,00%</w:t>
            </w:r>
          </w:p>
        </w:tc>
        <w:tc>
          <w:tcPr>
            <w:tcW w:w="565" w:type="pct"/>
            <w:tcBorders>
              <w:top w:val="nil"/>
              <w:left w:val="nil"/>
              <w:bottom w:val="single" w:sz="4" w:space="0" w:color="auto"/>
              <w:right w:val="single" w:sz="4" w:space="0" w:color="auto"/>
            </w:tcBorders>
            <w:shd w:val="clear" w:color="auto" w:fill="auto"/>
            <w:noWrap/>
            <w:vAlign w:val="center"/>
          </w:tcPr>
          <w:p w14:paraId="3B8B6601" w14:textId="5F58071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6DD4FD44" w14:textId="5FFF471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1F050FCB"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03B9C6A" w14:textId="5505F11A"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29EC54CB" w14:textId="2DE8BF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7ECC4DFC"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73193A49"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29DE086B"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Renda Fixa - Geral - Art. 7º, IV, Alínea “a”</w:t>
            </w:r>
          </w:p>
        </w:tc>
        <w:tc>
          <w:tcPr>
            <w:tcW w:w="474" w:type="pct"/>
            <w:tcBorders>
              <w:top w:val="nil"/>
              <w:left w:val="nil"/>
              <w:bottom w:val="single" w:sz="4" w:space="0" w:color="auto"/>
              <w:right w:val="single" w:sz="8" w:space="0" w:color="auto"/>
            </w:tcBorders>
            <w:shd w:val="clear" w:color="auto" w:fill="auto"/>
            <w:noWrap/>
            <w:vAlign w:val="center"/>
            <w:hideMark/>
          </w:tcPr>
          <w:p w14:paraId="45F5BB20"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40,00%</w:t>
            </w:r>
          </w:p>
        </w:tc>
        <w:tc>
          <w:tcPr>
            <w:tcW w:w="565" w:type="pct"/>
            <w:tcBorders>
              <w:top w:val="nil"/>
              <w:left w:val="nil"/>
              <w:bottom w:val="single" w:sz="4" w:space="0" w:color="auto"/>
              <w:right w:val="single" w:sz="4" w:space="0" w:color="auto"/>
            </w:tcBorders>
            <w:shd w:val="clear" w:color="auto" w:fill="auto"/>
            <w:noWrap/>
            <w:vAlign w:val="center"/>
          </w:tcPr>
          <w:p w14:paraId="7F1894AF" w14:textId="4EFDE13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16.442.866,19</w:t>
            </w:r>
            <w:r w:rsidRPr="00297E43">
              <w:rPr>
                <w:rFonts w:ascii="Calibri" w:eastAsia="Times New Roman" w:hAnsi="Calibri" w:cs="Times New Roman"/>
                <w:color w:val="auto"/>
                <w:sz w:val="11"/>
                <w:szCs w:val="11"/>
                <w:lang w:eastAsia="pt-BR"/>
              </w:rPr>
              <w:tab/>
            </w:r>
          </w:p>
        </w:tc>
        <w:tc>
          <w:tcPr>
            <w:tcW w:w="523" w:type="pct"/>
            <w:tcBorders>
              <w:top w:val="nil"/>
              <w:left w:val="nil"/>
              <w:bottom w:val="single" w:sz="4" w:space="0" w:color="auto"/>
              <w:right w:val="single" w:sz="8" w:space="0" w:color="auto"/>
            </w:tcBorders>
            <w:shd w:val="clear" w:color="auto" w:fill="auto"/>
            <w:noWrap/>
            <w:vAlign w:val="center"/>
          </w:tcPr>
          <w:p w14:paraId="6D0D0A83" w14:textId="04E3CDE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29,44</w:t>
            </w:r>
          </w:p>
        </w:tc>
        <w:tc>
          <w:tcPr>
            <w:tcW w:w="76" w:type="pct"/>
            <w:tcBorders>
              <w:top w:val="nil"/>
              <w:left w:val="nil"/>
              <w:bottom w:val="nil"/>
              <w:right w:val="nil"/>
            </w:tcBorders>
            <w:shd w:val="clear" w:color="auto" w:fill="auto"/>
            <w:noWrap/>
            <w:vAlign w:val="center"/>
          </w:tcPr>
          <w:p w14:paraId="2859370E"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01A1EA7B" w14:textId="5ECFEED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10,00</w:t>
            </w:r>
          </w:p>
        </w:tc>
        <w:tc>
          <w:tcPr>
            <w:tcW w:w="481" w:type="pct"/>
            <w:tcBorders>
              <w:top w:val="nil"/>
              <w:left w:val="nil"/>
              <w:bottom w:val="single" w:sz="4" w:space="0" w:color="auto"/>
              <w:right w:val="single" w:sz="8" w:space="0" w:color="auto"/>
            </w:tcBorders>
            <w:shd w:val="clear" w:color="000000" w:fill="F2F2F2"/>
            <w:noWrap/>
            <w:vAlign w:val="center"/>
          </w:tcPr>
          <w:p w14:paraId="3BAD34B8" w14:textId="230C2EB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40,00</w:t>
            </w:r>
          </w:p>
        </w:tc>
      </w:tr>
      <w:tr w:rsidR="00297E43" w:rsidRPr="00297E43" w14:paraId="2452851A"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7ED8AB5D"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59330180"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Demais Indicadores de RF - Art. 7º, IV, Alínea “b”</w:t>
            </w:r>
          </w:p>
        </w:tc>
        <w:tc>
          <w:tcPr>
            <w:tcW w:w="474" w:type="pct"/>
            <w:tcBorders>
              <w:top w:val="nil"/>
              <w:left w:val="nil"/>
              <w:bottom w:val="single" w:sz="4" w:space="0" w:color="auto"/>
              <w:right w:val="single" w:sz="8" w:space="0" w:color="auto"/>
            </w:tcBorders>
            <w:shd w:val="clear" w:color="auto" w:fill="auto"/>
            <w:noWrap/>
            <w:vAlign w:val="center"/>
            <w:hideMark/>
          </w:tcPr>
          <w:p w14:paraId="14CD68F0"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40,00%</w:t>
            </w:r>
          </w:p>
        </w:tc>
        <w:tc>
          <w:tcPr>
            <w:tcW w:w="565" w:type="pct"/>
            <w:tcBorders>
              <w:top w:val="nil"/>
              <w:left w:val="nil"/>
              <w:bottom w:val="single" w:sz="4" w:space="0" w:color="auto"/>
              <w:right w:val="single" w:sz="4" w:space="0" w:color="auto"/>
            </w:tcBorders>
            <w:shd w:val="clear" w:color="auto" w:fill="auto"/>
            <w:noWrap/>
            <w:vAlign w:val="center"/>
          </w:tcPr>
          <w:p w14:paraId="273F8612" w14:textId="3B031FB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4B0733EF" w14:textId="6F94D02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6E603808"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7C526D6F" w14:textId="1CB53A9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013D3623" w14:textId="1B1200C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7EAD56D2"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0CC90C9E"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17F5C408"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Letras Imobiliárias Garantidas - Art. 7º, V, Alínea “b”</w:t>
            </w:r>
          </w:p>
        </w:tc>
        <w:tc>
          <w:tcPr>
            <w:tcW w:w="474" w:type="pct"/>
            <w:tcBorders>
              <w:top w:val="nil"/>
              <w:left w:val="nil"/>
              <w:bottom w:val="single" w:sz="4" w:space="0" w:color="auto"/>
              <w:right w:val="single" w:sz="8" w:space="0" w:color="auto"/>
            </w:tcBorders>
            <w:shd w:val="clear" w:color="auto" w:fill="auto"/>
            <w:noWrap/>
            <w:vAlign w:val="center"/>
            <w:hideMark/>
          </w:tcPr>
          <w:p w14:paraId="4A6E32B2"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20,00%</w:t>
            </w:r>
          </w:p>
        </w:tc>
        <w:tc>
          <w:tcPr>
            <w:tcW w:w="565" w:type="pct"/>
            <w:tcBorders>
              <w:top w:val="nil"/>
              <w:left w:val="nil"/>
              <w:bottom w:val="single" w:sz="4" w:space="0" w:color="auto"/>
              <w:right w:val="single" w:sz="4" w:space="0" w:color="auto"/>
            </w:tcBorders>
            <w:shd w:val="clear" w:color="auto" w:fill="auto"/>
            <w:noWrap/>
            <w:vAlign w:val="center"/>
          </w:tcPr>
          <w:p w14:paraId="009BB950" w14:textId="4AAD149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7120D760" w14:textId="3C0FF16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13F36940"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7C198680" w14:textId="3EBB8CA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7A49DCED" w14:textId="01E4B9E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790BEED1"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5AE8B7B0"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2CDBCF74"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CDB - Certificados de Depósitos Bancários - Art. 7º, VI, Alínea "a"</w:t>
            </w:r>
          </w:p>
        </w:tc>
        <w:tc>
          <w:tcPr>
            <w:tcW w:w="474" w:type="pct"/>
            <w:tcBorders>
              <w:top w:val="nil"/>
              <w:left w:val="nil"/>
              <w:bottom w:val="single" w:sz="4" w:space="0" w:color="auto"/>
              <w:right w:val="single" w:sz="8" w:space="0" w:color="auto"/>
            </w:tcBorders>
            <w:shd w:val="clear" w:color="auto" w:fill="auto"/>
            <w:noWrap/>
            <w:vAlign w:val="center"/>
            <w:hideMark/>
          </w:tcPr>
          <w:p w14:paraId="07B259EE"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15,00%</w:t>
            </w:r>
          </w:p>
        </w:tc>
        <w:tc>
          <w:tcPr>
            <w:tcW w:w="565" w:type="pct"/>
            <w:tcBorders>
              <w:top w:val="nil"/>
              <w:left w:val="nil"/>
              <w:bottom w:val="single" w:sz="4" w:space="0" w:color="auto"/>
              <w:right w:val="single" w:sz="4" w:space="0" w:color="auto"/>
            </w:tcBorders>
            <w:shd w:val="clear" w:color="auto" w:fill="auto"/>
            <w:noWrap/>
            <w:vAlign w:val="center"/>
          </w:tcPr>
          <w:p w14:paraId="6030A932" w14:textId="45A29B7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45D7C3AC" w14:textId="3B5BA3A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017A7587"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51FB7FED" w14:textId="1BCDA5BA"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386796AB" w14:textId="256A0DC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15,00</w:t>
            </w:r>
          </w:p>
        </w:tc>
      </w:tr>
      <w:tr w:rsidR="00297E43" w:rsidRPr="00297E43" w14:paraId="444F8B9B"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59D5B9D1"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7746645C"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Poupança - Art. 7º, VI, Alínea "b"</w:t>
            </w:r>
          </w:p>
        </w:tc>
        <w:tc>
          <w:tcPr>
            <w:tcW w:w="474" w:type="pct"/>
            <w:tcBorders>
              <w:top w:val="nil"/>
              <w:left w:val="nil"/>
              <w:bottom w:val="single" w:sz="4" w:space="0" w:color="auto"/>
              <w:right w:val="single" w:sz="8" w:space="0" w:color="auto"/>
            </w:tcBorders>
            <w:shd w:val="clear" w:color="auto" w:fill="auto"/>
            <w:noWrap/>
            <w:vAlign w:val="center"/>
            <w:hideMark/>
          </w:tcPr>
          <w:p w14:paraId="62850AAA"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15,00%</w:t>
            </w:r>
          </w:p>
        </w:tc>
        <w:tc>
          <w:tcPr>
            <w:tcW w:w="565" w:type="pct"/>
            <w:tcBorders>
              <w:top w:val="nil"/>
              <w:left w:val="nil"/>
              <w:bottom w:val="single" w:sz="4" w:space="0" w:color="auto"/>
              <w:right w:val="single" w:sz="4" w:space="0" w:color="auto"/>
            </w:tcBorders>
            <w:shd w:val="clear" w:color="auto" w:fill="auto"/>
            <w:noWrap/>
            <w:vAlign w:val="center"/>
          </w:tcPr>
          <w:p w14:paraId="24F715AB" w14:textId="2AC84EA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360708E7" w14:textId="7CCEF63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46ED6035"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1B90A660" w14:textId="53D0656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174B718A" w14:textId="0A32A42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598E12D5"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3AAB964C"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63B1A50B"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Direitos Creditórios - Cota Sênior Art. 7º, VII, "a"</w:t>
            </w:r>
          </w:p>
        </w:tc>
        <w:tc>
          <w:tcPr>
            <w:tcW w:w="474" w:type="pct"/>
            <w:tcBorders>
              <w:top w:val="nil"/>
              <w:left w:val="nil"/>
              <w:bottom w:val="single" w:sz="4" w:space="0" w:color="auto"/>
              <w:right w:val="single" w:sz="8" w:space="0" w:color="auto"/>
            </w:tcBorders>
            <w:shd w:val="clear" w:color="auto" w:fill="auto"/>
            <w:noWrap/>
            <w:vAlign w:val="center"/>
            <w:hideMark/>
          </w:tcPr>
          <w:p w14:paraId="3115831E"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single" w:sz="4" w:space="0" w:color="auto"/>
              <w:right w:val="single" w:sz="4" w:space="0" w:color="auto"/>
            </w:tcBorders>
            <w:shd w:val="clear" w:color="auto" w:fill="auto"/>
            <w:noWrap/>
            <w:vAlign w:val="center"/>
          </w:tcPr>
          <w:p w14:paraId="2153F3DC" w14:textId="7CB4F6A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4.004.970,15</w:t>
            </w:r>
          </w:p>
        </w:tc>
        <w:tc>
          <w:tcPr>
            <w:tcW w:w="523" w:type="pct"/>
            <w:tcBorders>
              <w:top w:val="nil"/>
              <w:left w:val="nil"/>
              <w:bottom w:val="single" w:sz="4" w:space="0" w:color="auto"/>
              <w:right w:val="single" w:sz="8" w:space="0" w:color="auto"/>
            </w:tcBorders>
            <w:shd w:val="clear" w:color="auto" w:fill="auto"/>
            <w:noWrap/>
            <w:vAlign w:val="center"/>
          </w:tcPr>
          <w:p w14:paraId="2CBF1038" w14:textId="325EE0B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7,17</w:t>
            </w:r>
          </w:p>
        </w:tc>
        <w:tc>
          <w:tcPr>
            <w:tcW w:w="76" w:type="pct"/>
            <w:tcBorders>
              <w:top w:val="nil"/>
              <w:left w:val="nil"/>
              <w:bottom w:val="nil"/>
              <w:right w:val="nil"/>
            </w:tcBorders>
            <w:shd w:val="clear" w:color="auto" w:fill="auto"/>
            <w:noWrap/>
            <w:vAlign w:val="center"/>
          </w:tcPr>
          <w:p w14:paraId="38DE1141"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3A48CD72" w14:textId="6A0A1EF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2,00</w:t>
            </w:r>
          </w:p>
        </w:tc>
        <w:tc>
          <w:tcPr>
            <w:tcW w:w="481" w:type="pct"/>
            <w:tcBorders>
              <w:top w:val="nil"/>
              <w:left w:val="nil"/>
              <w:bottom w:val="single" w:sz="4" w:space="0" w:color="auto"/>
              <w:right w:val="single" w:sz="8" w:space="0" w:color="auto"/>
            </w:tcBorders>
            <w:shd w:val="clear" w:color="000000" w:fill="F2F2F2"/>
            <w:noWrap/>
            <w:vAlign w:val="center"/>
          </w:tcPr>
          <w:p w14:paraId="15FE584C" w14:textId="70A08F6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r>
      <w:tr w:rsidR="00297E43" w:rsidRPr="00297E43" w14:paraId="1ED0B231" w14:textId="77777777" w:rsidTr="001152B6">
        <w:trPr>
          <w:gridAfter w:val="1"/>
          <w:trHeight w:val="300"/>
        </w:trPr>
        <w:tc>
          <w:tcPr>
            <w:tcW w:w="373" w:type="pct"/>
            <w:vMerge/>
            <w:tcBorders>
              <w:top w:val="nil"/>
              <w:left w:val="single" w:sz="8" w:space="0" w:color="auto"/>
              <w:bottom w:val="single" w:sz="8" w:space="0" w:color="000000"/>
              <w:right w:val="single" w:sz="8" w:space="0" w:color="auto"/>
            </w:tcBorders>
            <w:vAlign w:val="center"/>
            <w:hideMark/>
          </w:tcPr>
          <w:p w14:paraId="3A754A33"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40AC51AE"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Renda Fixa "Crédito Privado"- Art. 7º, VII, "b"</w:t>
            </w:r>
          </w:p>
        </w:tc>
        <w:tc>
          <w:tcPr>
            <w:tcW w:w="474" w:type="pct"/>
            <w:tcBorders>
              <w:top w:val="nil"/>
              <w:left w:val="nil"/>
              <w:bottom w:val="single" w:sz="4" w:space="0" w:color="auto"/>
              <w:right w:val="single" w:sz="8" w:space="0" w:color="auto"/>
            </w:tcBorders>
            <w:shd w:val="clear" w:color="auto" w:fill="auto"/>
            <w:noWrap/>
            <w:vAlign w:val="center"/>
            <w:hideMark/>
          </w:tcPr>
          <w:p w14:paraId="2DC6612B"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single" w:sz="4" w:space="0" w:color="auto"/>
              <w:right w:val="single" w:sz="4" w:space="0" w:color="auto"/>
            </w:tcBorders>
            <w:shd w:val="clear" w:color="auto" w:fill="auto"/>
            <w:noWrap/>
            <w:vAlign w:val="center"/>
          </w:tcPr>
          <w:p w14:paraId="2E8A8A1C" w14:textId="45676D6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19.901,07</w:t>
            </w:r>
          </w:p>
        </w:tc>
        <w:tc>
          <w:tcPr>
            <w:tcW w:w="523" w:type="pct"/>
            <w:tcBorders>
              <w:top w:val="nil"/>
              <w:left w:val="nil"/>
              <w:bottom w:val="single" w:sz="4" w:space="0" w:color="auto"/>
              <w:right w:val="single" w:sz="8" w:space="0" w:color="auto"/>
            </w:tcBorders>
            <w:shd w:val="clear" w:color="auto" w:fill="auto"/>
            <w:noWrap/>
            <w:vAlign w:val="center"/>
          </w:tcPr>
          <w:p w14:paraId="13E125B2" w14:textId="7CDFEFD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0,04</w:t>
            </w:r>
          </w:p>
        </w:tc>
        <w:tc>
          <w:tcPr>
            <w:tcW w:w="76" w:type="pct"/>
            <w:tcBorders>
              <w:top w:val="nil"/>
              <w:left w:val="nil"/>
              <w:bottom w:val="nil"/>
              <w:right w:val="nil"/>
            </w:tcBorders>
            <w:shd w:val="clear" w:color="auto" w:fill="auto"/>
            <w:noWrap/>
            <w:vAlign w:val="center"/>
          </w:tcPr>
          <w:p w14:paraId="3F6FE91E"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434EFA5E" w14:textId="53D6990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47E7B327" w14:textId="5AAAF82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r>
      <w:tr w:rsidR="00297E43" w:rsidRPr="00297E43" w14:paraId="57BC6E5F" w14:textId="77777777" w:rsidTr="001152B6">
        <w:trPr>
          <w:gridAfter w:val="1"/>
          <w:trHeight w:val="315"/>
        </w:trPr>
        <w:tc>
          <w:tcPr>
            <w:tcW w:w="373" w:type="pct"/>
            <w:vMerge/>
            <w:tcBorders>
              <w:top w:val="nil"/>
              <w:left w:val="single" w:sz="8" w:space="0" w:color="auto"/>
              <w:bottom w:val="single" w:sz="8" w:space="0" w:color="000000"/>
              <w:right w:val="single" w:sz="8" w:space="0" w:color="auto"/>
            </w:tcBorders>
            <w:vAlign w:val="center"/>
            <w:hideMark/>
          </w:tcPr>
          <w:p w14:paraId="4750BF2B"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8" w:space="0" w:color="auto"/>
              <w:right w:val="single" w:sz="4" w:space="0" w:color="auto"/>
            </w:tcBorders>
            <w:shd w:val="clear" w:color="auto" w:fill="auto"/>
            <w:noWrap/>
            <w:vAlign w:val="center"/>
            <w:hideMark/>
          </w:tcPr>
          <w:p w14:paraId="7FC2A564"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Debêntures de Infraestrutura - Art. 7º, VII, "c"</w:t>
            </w:r>
          </w:p>
        </w:tc>
        <w:tc>
          <w:tcPr>
            <w:tcW w:w="474" w:type="pct"/>
            <w:tcBorders>
              <w:top w:val="nil"/>
              <w:left w:val="nil"/>
              <w:bottom w:val="single" w:sz="8" w:space="0" w:color="auto"/>
              <w:right w:val="single" w:sz="8" w:space="0" w:color="auto"/>
            </w:tcBorders>
            <w:shd w:val="clear" w:color="auto" w:fill="auto"/>
            <w:noWrap/>
            <w:vAlign w:val="center"/>
            <w:hideMark/>
          </w:tcPr>
          <w:p w14:paraId="694FE62F"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single" w:sz="8" w:space="0" w:color="auto"/>
              <w:right w:val="single" w:sz="4" w:space="0" w:color="auto"/>
            </w:tcBorders>
            <w:shd w:val="clear" w:color="auto" w:fill="auto"/>
            <w:noWrap/>
            <w:vAlign w:val="center"/>
          </w:tcPr>
          <w:p w14:paraId="393E98D4" w14:textId="69AE7FD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8" w:space="0" w:color="auto"/>
              <w:right w:val="single" w:sz="8" w:space="0" w:color="auto"/>
            </w:tcBorders>
            <w:shd w:val="clear" w:color="auto" w:fill="auto"/>
            <w:noWrap/>
            <w:vAlign w:val="center"/>
          </w:tcPr>
          <w:p w14:paraId="3179CB3E" w14:textId="2F97B2A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2876D547"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8" w:space="0" w:color="auto"/>
              <w:right w:val="single" w:sz="4" w:space="0" w:color="auto"/>
            </w:tcBorders>
            <w:shd w:val="clear" w:color="000000" w:fill="F2F2F2"/>
            <w:noWrap/>
            <w:vAlign w:val="center"/>
          </w:tcPr>
          <w:p w14:paraId="71E0D0C4" w14:textId="341BF52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8" w:space="0" w:color="auto"/>
              <w:right w:val="single" w:sz="8" w:space="0" w:color="auto"/>
            </w:tcBorders>
            <w:shd w:val="clear" w:color="000000" w:fill="F2F2F2"/>
            <w:noWrap/>
            <w:vAlign w:val="center"/>
          </w:tcPr>
          <w:p w14:paraId="58B5F673" w14:textId="6BFFBD5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r>
      <w:tr w:rsidR="00297E43" w:rsidRPr="00297E43" w14:paraId="730D6FB2" w14:textId="77777777" w:rsidTr="001152B6">
        <w:trPr>
          <w:gridAfter w:val="1"/>
          <w:trHeight w:val="315"/>
        </w:trPr>
        <w:tc>
          <w:tcPr>
            <w:tcW w:w="373" w:type="pct"/>
            <w:tcBorders>
              <w:top w:val="nil"/>
              <w:left w:val="nil"/>
              <w:bottom w:val="nil"/>
              <w:right w:val="nil"/>
            </w:tcBorders>
            <w:shd w:val="clear" w:color="auto" w:fill="auto"/>
            <w:vAlign w:val="center"/>
            <w:hideMark/>
          </w:tcPr>
          <w:p w14:paraId="72E30F1F"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1690" w:type="pct"/>
            <w:tcBorders>
              <w:top w:val="nil"/>
              <w:left w:val="single" w:sz="8" w:space="0" w:color="auto"/>
              <w:bottom w:val="single" w:sz="8" w:space="0" w:color="auto"/>
              <w:right w:val="single" w:sz="4" w:space="0" w:color="auto"/>
            </w:tcBorders>
            <w:shd w:val="clear" w:color="000000" w:fill="D9D9D9"/>
            <w:noWrap/>
            <w:vAlign w:val="center"/>
            <w:hideMark/>
          </w:tcPr>
          <w:p w14:paraId="0BC80596" w14:textId="77777777" w:rsidR="001152B6" w:rsidRPr="00297E43" w:rsidRDefault="001152B6" w:rsidP="001152B6">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 xml:space="preserve">Limite de Renda Fixa </w:t>
            </w:r>
          </w:p>
        </w:tc>
        <w:tc>
          <w:tcPr>
            <w:tcW w:w="474" w:type="pct"/>
            <w:tcBorders>
              <w:top w:val="nil"/>
              <w:left w:val="nil"/>
              <w:bottom w:val="single" w:sz="8" w:space="0" w:color="auto"/>
              <w:right w:val="single" w:sz="8" w:space="0" w:color="auto"/>
            </w:tcBorders>
            <w:shd w:val="clear" w:color="000000" w:fill="D9D9D9"/>
            <w:noWrap/>
            <w:vAlign w:val="center"/>
            <w:hideMark/>
          </w:tcPr>
          <w:p w14:paraId="138AFF92"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100,00%</w:t>
            </w:r>
          </w:p>
        </w:tc>
        <w:tc>
          <w:tcPr>
            <w:tcW w:w="565" w:type="pct"/>
            <w:tcBorders>
              <w:top w:val="nil"/>
              <w:left w:val="nil"/>
              <w:bottom w:val="single" w:sz="8" w:space="0" w:color="auto"/>
              <w:right w:val="single" w:sz="4" w:space="0" w:color="auto"/>
            </w:tcBorders>
            <w:shd w:val="clear" w:color="000000" w:fill="D9D9D9"/>
            <w:noWrap/>
            <w:vAlign w:val="center"/>
          </w:tcPr>
          <w:p w14:paraId="567B40BB" w14:textId="2BDD420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52.191.013,26</w:t>
            </w:r>
            <w:r w:rsidRPr="00297E43">
              <w:rPr>
                <w:rFonts w:ascii="Calibri" w:eastAsia="Times New Roman" w:hAnsi="Calibri" w:cs="Times New Roman"/>
                <w:color w:val="auto"/>
                <w:sz w:val="11"/>
                <w:szCs w:val="11"/>
                <w:lang w:eastAsia="pt-BR"/>
              </w:rPr>
              <w:tab/>
            </w:r>
          </w:p>
        </w:tc>
        <w:tc>
          <w:tcPr>
            <w:tcW w:w="523" w:type="pct"/>
            <w:tcBorders>
              <w:top w:val="nil"/>
              <w:left w:val="nil"/>
              <w:bottom w:val="single" w:sz="8" w:space="0" w:color="auto"/>
              <w:right w:val="single" w:sz="8" w:space="0" w:color="auto"/>
            </w:tcBorders>
            <w:shd w:val="clear" w:color="000000" w:fill="D9D9D9"/>
            <w:noWrap/>
            <w:vAlign w:val="center"/>
          </w:tcPr>
          <w:p w14:paraId="516F24B8" w14:textId="36004A9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93,45</w:t>
            </w:r>
          </w:p>
        </w:tc>
        <w:tc>
          <w:tcPr>
            <w:tcW w:w="76" w:type="pct"/>
            <w:tcBorders>
              <w:top w:val="nil"/>
              <w:left w:val="nil"/>
              <w:bottom w:val="nil"/>
              <w:right w:val="nil"/>
            </w:tcBorders>
            <w:shd w:val="clear" w:color="auto" w:fill="auto"/>
            <w:noWrap/>
            <w:vAlign w:val="center"/>
          </w:tcPr>
          <w:p w14:paraId="2FE07811"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8" w:space="0" w:color="auto"/>
              <w:right w:val="single" w:sz="4" w:space="0" w:color="auto"/>
            </w:tcBorders>
            <w:shd w:val="clear" w:color="000000" w:fill="D9D9D9"/>
            <w:noWrap/>
            <w:vAlign w:val="center"/>
          </w:tcPr>
          <w:p w14:paraId="516AFA1E" w14:textId="2152F5C6"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1"/>
                <w:szCs w:val="11"/>
                <w:lang w:eastAsia="pt-BR"/>
              </w:rPr>
              <w:t>32,00</w:t>
            </w:r>
          </w:p>
        </w:tc>
        <w:tc>
          <w:tcPr>
            <w:tcW w:w="481" w:type="pct"/>
            <w:tcBorders>
              <w:top w:val="nil"/>
              <w:left w:val="nil"/>
              <w:bottom w:val="single" w:sz="8" w:space="0" w:color="auto"/>
              <w:right w:val="single" w:sz="8" w:space="0" w:color="auto"/>
            </w:tcBorders>
            <w:shd w:val="clear" w:color="000000" w:fill="D9D9D9"/>
            <w:noWrap/>
            <w:vAlign w:val="center"/>
          </w:tcPr>
          <w:p w14:paraId="100A37DA" w14:textId="4D10DC59"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1"/>
                <w:szCs w:val="11"/>
                <w:lang w:eastAsia="pt-BR"/>
              </w:rPr>
              <w:t>240,00</w:t>
            </w:r>
          </w:p>
        </w:tc>
      </w:tr>
      <w:tr w:rsidR="00297E43" w:rsidRPr="00297E43" w14:paraId="5DC50122" w14:textId="77777777" w:rsidTr="001152B6">
        <w:trPr>
          <w:gridAfter w:val="1"/>
          <w:trHeight w:val="180"/>
        </w:trPr>
        <w:tc>
          <w:tcPr>
            <w:tcW w:w="373" w:type="pct"/>
            <w:tcBorders>
              <w:top w:val="nil"/>
              <w:left w:val="nil"/>
              <w:bottom w:val="nil"/>
              <w:right w:val="nil"/>
            </w:tcBorders>
            <w:shd w:val="clear" w:color="auto" w:fill="auto"/>
            <w:vAlign w:val="center"/>
            <w:hideMark/>
          </w:tcPr>
          <w:p w14:paraId="65830722"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p>
        </w:tc>
        <w:tc>
          <w:tcPr>
            <w:tcW w:w="1690" w:type="pct"/>
            <w:tcBorders>
              <w:top w:val="nil"/>
              <w:left w:val="nil"/>
              <w:bottom w:val="nil"/>
              <w:right w:val="nil"/>
            </w:tcBorders>
            <w:shd w:val="clear" w:color="auto" w:fill="auto"/>
            <w:noWrap/>
            <w:vAlign w:val="center"/>
            <w:hideMark/>
          </w:tcPr>
          <w:p w14:paraId="6EB58CC6"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74" w:type="pct"/>
            <w:tcBorders>
              <w:top w:val="nil"/>
              <w:left w:val="nil"/>
              <w:bottom w:val="nil"/>
              <w:right w:val="nil"/>
            </w:tcBorders>
            <w:shd w:val="clear" w:color="auto" w:fill="auto"/>
            <w:noWrap/>
            <w:vAlign w:val="center"/>
            <w:hideMark/>
          </w:tcPr>
          <w:p w14:paraId="45E67793" w14:textId="77777777" w:rsidR="001152B6" w:rsidRPr="00297E43" w:rsidRDefault="001152B6" w:rsidP="001152B6">
            <w:pPr>
              <w:spacing w:after="0" w:line="240" w:lineRule="auto"/>
              <w:jc w:val="left"/>
              <w:rPr>
                <w:rFonts w:ascii="Times New Roman" w:eastAsia="Times New Roman" w:hAnsi="Times New Roman" w:cs="Times New Roman"/>
                <w:color w:val="auto"/>
                <w:sz w:val="12"/>
                <w:szCs w:val="20"/>
                <w:lang w:eastAsia="pt-BR"/>
              </w:rPr>
            </w:pPr>
          </w:p>
        </w:tc>
        <w:tc>
          <w:tcPr>
            <w:tcW w:w="565" w:type="pct"/>
            <w:tcBorders>
              <w:top w:val="nil"/>
              <w:left w:val="nil"/>
              <w:bottom w:val="nil"/>
              <w:right w:val="nil"/>
            </w:tcBorders>
            <w:shd w:val="clear" w:color="auto" w:fill="auto"/>
            <w:noWrap/>
            <w:vAlign w:val="center"/>
          </w:tcPr>
          <w:p w14:paraId="35860EC1"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523" w:type="pct"/>
            <w:tcBorders>
              <w:top w:val="nil"/>
              <w:left w:val="nil"/>
              <w:bottom w:val="nil"/>
              <w:right w:val="nil"/>
            </w:tcBorders>
            <w:shd w:val="clear" w:color="auto" w:fill="auto"/>
            <w:noWrap/>
            <w:vAlign w:val="center"/>
          </w:tcPr>
          <w:p w14:paraId="72F0DF79"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76" w:type="pct"/>
            <w:tcBorders>
              <w:top w:val="nil"/>
              <w:left w:val="nil"/>
              <w:bottom w:val="nil"/>
              <w:right w:val="nil"/>
            </w:tcBorders>
            <w:shd w:val="clear" w:color="auto" w:fill="auto"/>
            <w:noWrap/>
            <w:vAlign w:val="center"/>
          </w:tcPr>
          <w:p w14:paraId="1DBA0B3D"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79" w:type="pct"/>
            <w:tcBorders>
              <w:top w:val="nil"/>
              <w:left w:val="nil"/>
              <w:bottom w:val="nil"/>
              <w:right w:val="nil"/>
            </w:tcBorders>
            <w:shd w:val="clear" w:color="auto" w:fill="auto"/>
            <w:noWrap/>
            <w:vAlign w:val="bottom"/>
          </w:tcPr>
          <w:p w14:paraId="054DD464"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81" w:type="pct"/>
            <w:tcBorders>
              <w:top w:val="nil"/>
              <w:left w:val="nil"/>
              <w:bottom w:val="nil"/>
              <w:right w:val="nil"/>
            </w:tcBorders>
            <w:shd w:val="clear" w:color="auto" w:fill="auto"/>
            <w:noWrap/>
            <w:vAlign w:val="bottom"/>
          </w:tcPr>
          <w:p w14:paraId="15D9C0C5" w14:textId="77777777" w:rsidR="001152B6" w:rsidRPr="00297E43" w:rsidRDefault="001152B6" w:rsidP="001152B6">
            <w:pPr>
              <w:spacing w:after="0" w:line="240" w:lineRule="auto"/>
              <w:jc w:val="left"/>
              <w:rPr>
                <w:rFonts w:ascii="Times New Roman" w:eastAsia="Times New Roman" w:hAnsi="Times New Roman" w:cs="Times New Roman"/>
                <w:color w:val="auto"/>
                <w:sz w:val="12"/>
                <w:szCs w:val="20"/>
                <w:lang w:eastAsia="pt-BR"/>
              </w:rPr>
            </w:pPr>
          </w:p>
        </w:tc>
      </w:tr>
      <w:tr w:rsidR="00297E43" w:rsidRPr="00297E43" w14:paraId="68E70427" w14:textId="77777777" w:rsidTr="001152B6">
        <w:trPr>
          <w:gridAfter w:val="1"/>
          <w:trHeight w:val="300"/>
        </w:trPr>
        <w:tc>
          <w:tcPr>
            <w:tcW w:w="37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9C95EB3" w14:textId="77777777" w:rsidR="001152B6" w:rsidRPr="00297E43" w:rsidRDefault="001152B6" w:rsidP="001152B6">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Renda Variável e Estrut.</w:t>
            </w:r>
          </w:p>
        </w:tc>
        <w:tc>
          <w:tcPr>
            <w:tcW w:w="1690" w:type="pct"/>
            <w:tcBorders>
              <w:top w:val="single" w:sz="8" w:space="0" w:color="auto"/>
              <w:left w:val="nil"/>
              <w:bottom w:val="single" w:sz="4" w:space="0" w:color="auto"/>
              <w:right w:val="single" w:sz="4" w:space="0" w:color="auto"/>
            </w:tcBorders>
            <w:shd w:val="clear" w:color="auto" w:fill="auto"/>
            <w:noWrap/>
            <w:vAlign w:val="center"/>
            <w:hideMark/>
          </w:tcPr>
          <w:p w14:paraId="6D42E1B3"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Ações - Índices c/ no mínimo 50 ações - Art. 8º, I, "a"</w:t>
            </w:r>
          </w:p>
        </w:tc>
        <w:tc>
          <w:tcPr>
            <w:tcW w:w="474" w:type="pct"/>
            <w:tcBorders>
              <w:top w:val="single" w:sz="8" w:space="0" w:color="auto"/>
              <w:left w:val="nil"/>
              <w:bottom w:val="single" w:sz="4" w:space="0" w:color="auto"/>
              <w:right w:val="single" w:sz="8" w:space="0" w:color="auto"/>
            </w:tcBorders>
            <w:shd w:val="clear" w:color="auto" w:fill="auto"/>
            <w:noWrap/>
            <w:vAlign w:val="center"/>
            <w:hideMark/>
          </w:tcPr>
          <w:p w14:paraId="39D986B7"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30,00%</w:t>
            </w:r>
          </w:p>
        </w:tc>
        <w:tc>
          <w:tcPr>
            <w:tcW w:w="565" w:type="pct"/>
            <w:tcBorders>
              <w:top w:val="single" w:sz="8" w:space="0" w:color="auto"/>
              <w:left w:val="nil"/>
              <w:bottom w:val="single" w:sz="4" w:space="0" w:color="auto"/>
              <w:right w:val="single" w:sz="4" w:space="0" w:color="auto"/>
            </w:tcBorders>
            <w:shd w:val="clear" w:color="auto" w:fill="auto"/>
            <w:noWrap/>
            <w:vAlign w:val="center"/>
          </w:tcPr>
          <w:p w14:paraId="6911E987" w14:textId="623A6A5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2.093.752,89</w:t>
            </w:r>
          </w:p>
        </w:tc>
        <w:tc>
          <w:tcPr>
            <w:tcW w:w="523" w:type="pct"/>
            <w:tcBorders>
              <w:top w:val="single" w:sz="8" w:space="0" w:color="auto"/>
              <w:left w:val="nil"/>
              <w:bottom w:val="single" w:sz="4" w:space="0" w:color="auto"/>
              <w:right w:val="single" w:sz="8" w:space="0" w:color="auto"/>
            </w:tcBorders>
            <w:shd w:val="clear" w:color="auto" w:fill="auto"/>
            <w:noWrap/>
            <w:vAlign w:val="center"/>
          </w:tcPr>
          <w:p w14:paraId="6F38D215" w14:textId="443A741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3,75</w:t>
            </w:r>
          </w:p>
        </w:tc>
        <w:tc>
          <w:tcPr>
            <w:tcW w:w="76" w:type="pct"/>
            <w:tcBorders>
              <w:top w:val="nil"/>
              <w:left w:val="nil"/>
              <w:bottom w:val="nil"/>
              <w:right w:val="nil"/>
            </w:tcBorders>
            <w:shd w:val="clear" w:color="auto" w:fill="auto"/>
            <w:noWrap/>
            <w:vAlign w:val="center"/>
          </w:tcPr>
          <w:p w14:paraId="71E05B00" w14:textId="1C642E50"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single" w:sz="8" w:space="0" w:color="auto"/>
              <w:left w:val="single" w:sz="8" w:space="0" w:color="auto"/>
              <w:bottom w:val="single" w:sz="4" w:space="0" w:color="auto"/>
              <w:right w:val="single" w:sz="4" w:space="0" w:color="auto"/>
            </w:tcBorders>
            <w:shd w:val="clear" w:color="000000" w:fill="F2F2F2"/>
            <w:noWrap/>
            <w:vAlign w:val="center"/>
          </w:tcPr>
          <w:p w14:paraId="470FF414" w14:textId="233AA8A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single" w:sz="8" w:space="0" w:color="auto"/>
              <w:left w:val="nil"/>
              <w:bottom w:val="single" w:sz="4" w:space="0" w:color="auto"/>
              <w:right w:val="single" w:sz="8" w:space="0" w:color="auto"/>
            </w:tcBorders>
            <w:shd w:val="clear" w:color="000000" w:fill="F2F2F2"/>
            <w:noWrap/>
            <w:vAlign w:val="center"/>
          </w:tcPr>
          <w:p w14:paraId="4A137E74" w14:textId="36EC530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3FFDC443"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0197281C"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1EEA68C8"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Índice de Ações (c/ no mínimo 50)- Art. 8º, I, "b"</w:t>
            </w:r>
          </w:p>
        </w:tc>
        <w:tc>
          <w:tcPr>
            <w:tcW w:w="474" w:type="pct"/>
            <w:tcBorders>
              <w:top w:val="nil"/>
              <w:left w:val="nil"/>
              <w:bottom w:val="single" w:sz="4" w:space="0" w:color="auto"/>
              <w:right w:val="single" w:sz="8" w:space="0" w:color="auto"/>
            </w:tcBorders>
            <w:shd w:val="clear" w:color="auto" w:fill="auto"/>
            <w:noWrap/>
            <w:vAlign w:val="center"/>
            <w:hideMark/>
          </w:tcPr>
          <w:p w14:paraId="21C27363"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30,00%</w:t>
            </w:r>
          </w:p>
        </w:tc>
        <w:tc>
          <w:tcPr>
            <w:tcW w:w="565" w:type="pct"/>
            <w:tcBorders>
              <w:top w:val="nil"/>
              <w:left w:val="nil"/>
              <w:bottom w:val="single" w:sz="4" w:space="0" w:color="auto"/>
              <w:right w:val="single" w:sz="4" w:space="0" w:color="auto"/>
            </w:tcBorders>
            <w:shd w:val="clear" w:color="auto" w:fill="auto"/>
            <w:noWrap/>
            <w:vAlign w:val="center"/>
          </w:tcPr>
          <w:p w14:paraId="3BD15AD2" w14:textId="225A9FF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6995EECF" w14:textId="11B9DCD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37F76C7E" w14:textId="033B370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A09E9D4" w14:textId="1237D6E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595C2B80" w14:textId="712ACE4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2ABC01AB"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055F145D"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2B9CD4FB"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Ações - Geral - Art. 8º, II, "a"</w:t>
            </w:r>
          </w:p>
        </w:tc>
        <w:tc>
          <w:tcPr>
            <w:tcW w:w="474" w:type="pct"/>
            <w:tcBorders>
              <w:top w:val="nil"/>
              <w:left w:val="nil"/>
              <w:bottom w:val="single" w:sz="4" w:space="0" w:color="auto"/>
              <w:right w:val="single" w:sz="8" w:space="0" w:color="auto"/>
            </w:tcBorders>
            <w:shd w:val="clear" w:color="auto" w:fill="auto"/>
            <w:noWrap/>
            <w:vAlign w:val="center"/>
            <w:hideMark/>
          </w:tcPr>
          <w:p w14:paraId="3AA36691"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20,00%</w:t>
            </w:r>
          </w:p>
        </w:tc>
        <w:tc>
          <w:tcPr>
            <w:tcW w:w="565" w:type="pct"/>
            <w:tcBorders>
              <w:top w:val="nil"/>
              <w:left w:val="nil"/>
              <w:bottom w:val="single" w:sz="4" w:space="0" w:color="auto"/>
              <w:right w:val="single" w:sz="4" w:space="0" w:color="auto"/>
            </w:tcBorders>
            <w:shd w:val="clear" w:color="auto" w:fill="auto"/>
            <w:noWrap/>
            <w:vAlign w:val="center"/>
          </w:tcPr>
          <w:p w14:paraId="29A2AA29" w14:textId="760F8CF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123.581,58</w:t>
            </w:r>
            <w:r w:rsidRPr="00297E43">
              <w:rPr>
                <w:rFonts w:ascii="Calibri" w:eastAsia="Times New Roman" w:hAnsi="Calibri" w:cs="Times New Roman"/>
                <w:color w:val="auto"/>
                <w:sz w:val="11"/>
                <w:szCs w:val="11"/>
                <w:lang w:eastAsia="pt-BR"/>
              </w:rPr>
              <w:tab/>
            </w:r>
          </w:p>
        </w:tc>
        <w:tc>
          <w:tcPr>
            <w:tcW w:w="523" w:type="pct"/>
            <w:tcBorders>
              <w:top w:val="nil"/>
              <w:left w:val="nil"/>
              <w:bottom w:val="single" w:sz="4" w:space="0" w:color="auto"/>
              <w:right w:val="single" w:sz="8" w:space="0" w:color="auto"/>
            </w:tcBorders>
            <w:shd w:val="clear" w:color="auto" w:fill="auto"/>
            <w:noWrap/>
            <w:vAlign w:val="center"/>
          </w:tcPr>
          <w:p w14:paraId="6066A66F" w14:textId="1183C1F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0,22</w:t>
            </w:r>
          </w:p>
        </w:tc>
        <w:tc>
          <w:tcPr>
            <w:tcW w:w="76" w:type="pct"/>
            <w:tcBorders>
              <w:top w:val="nil"/>
              <w:left w:val="nil"/>
              <w:bottom w:val="nil"/>
              <w:right w:val="nil"/>
            </w:tcBorders>
            <w:shd w:val="clear" w:color="auto" w:fill="auto"/>
            <w:noWrap/>
            <w:vAlign w:val="center"/>
          </w:tcPr>
          <w:p w14:paraId="5D0BCB5C" w14:textId="0FB8942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8857CDD" w14:textId="06AB731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7,00</w:t>
            </w:r>
          </w:p>
        </w:tc>
        <w:tc>
          <w:tcPr>
            <w:tcW w:w="481" w:type="pct"/>
            <w:tcBorders>
              <w:top w:val="nil"/>
              <w:left w:val="nil"/>
              <w:bottom w:val="single" w:sz="4" w:space="0" w:color="auto"/>
              <w:right w:val="single" w:sz="8" w:space="0" w:color="auto"/>
            </w:tcBorders>
            <w:shd w:val="clear" w:color="000000" w:fill="F2F2F2"/>
            <w:noWrap/>
            <w:vAlign w:val="center"/>
          </w:tcPr>
          <w:p w14:paraId="2413E81A" w14:textId="1AE21F7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20,00</w:t>
            </w:r>
          </w:p>
        </w:tc>
      </w:tr>
      <w:tr w:rsidR="00297E43" w:rsidRPr="00297E43" w14:paraId="36BF53AA"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0998B6E5"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42AD2464"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ETF - Demais Índices de Ações - Art. 8º, II, "b"</w:t>
            </w:r>
          </w:p>
        </w:tc>
        <w:tc>
          <w:tcPr>
            <w:tcW w:w="474" w:type="pct"/>
            <w:tcBorders>
              <w:top w:val="nil"/>
              <w:left w:val="nil"/>
              <w:bottom w:val="single" w:sz="4" w:space="0" w:color="auto"/>
              <w:right w:val="single" w:sz="8" w:space="0" w:color="auto"/>
            </w:tcBorders>
            <w:shd w:val="clear" w:color="auto" w:fill="auto"/>
            <w:noWrap/>
            <w:vAlign w:val="center"/>
            <w:hideMark/>
          </w:tcPr>
          <w:p w14:paraId="0759E8D2"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20,00%</w:t>
            </w:r>
          </w:p>
        </w:tc>
        <w:tc>
          <w:tcPr>
            <w:tcW w:w="565" w:type="pct"/>
            <w:tcBorders>
              <w:top w:val="nil"/>
              <w:left w:val="nil"/>
              <w:bottom w:val="single" w:sz="4" w:space="0" w:color="auto"/>
              <w:right w:val="single" w:sz="4" w:space="0" w:color="auto"/>
            </w:tcBorders>
            <w:shd w:val="clear" w:color="auto" w:fill="auto"/>
            <w:noWrap/>
            <w:vAlign w:val="center"/>
          </w:tcPr>
          <w:p w14:paraId="1F4587A0" w14:textId="35850E5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4970B59A" w14:textId="3169739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03F3C2CB" w14:textId="5262BFEB"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3984A429" w14:textId="2FF4836D"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single" w:sz="4" w:space="0" w:color="auto"/>
              <w:right w:val="single" w:sz="8" w:space="0" w:color="auto"/>
            </w:tcBorders>
            <w:shd w:val="clear" w:color="000000" w:fill="F2F2F2"/>
            <w:noWrap/>
            <w:vAlign w:val="center"/>
          </w:tcPr>
          <w:p w14:paraId="309A9E80" w14:textId="338C7F1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136F83EA"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64F97F51"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5296291B"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Multimercado - Aberto - Art. 8º, III</w:t>
            </w:r>
          </w:p>
        </w:tc>
        <w:tc>
          <w:tcPr>
            <w:tcW w:w="474" w:type="pct"/>
            <w:tcBorders>
              <w:top w:val="nil"/>
              <w:left w:val="nil"/>
              <w:bottom w:val="single" w:sz="4" w:space="0" w:color="auto"/>
              <w:right w:val="single" w:sz="8" w:space="0" w:color="auto"/>
            </w:tcBorders>
            <w:shd w:val="clear" w:color="auto" w:fill="auto"/>
            <w:noWrap/>
            <w:vAlign w:val="center"/>
            <w:hideMark/>
          </w:tcPr>
          <w:p w14:paraId="65B3D31D"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w:t>
            </w:r>
          </w:p>
        </w:tc>
        <w:tc>
          <w:tcPr>
            <w:tcW w:w="565" w:type="pct"/>
            <w:tcBorders>
              <w:top w:val="nil"/>
              <w:left w:val="nil"/>
              <w:bottom w:val="single" w:sz="4" w:space="0" w:color="auto"/>
              <w:right w:val="single" w:sz="4" w:space="0" w:color="auto"/>
            </w:tcBorders>
            <w:shd w:val="clear" w:color="auto" w:fill="auto"/>
            <w:noWrap/>
            <w:vAlign w:val="center"/>
          </w:tcPr>
          <w:p w14:paraId="3EB6E55D" w14:textId="4D9F9A0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1.341.332,98</w:t>
            </w:r>
          </w:p>
        </w:tc>
        <w:tc>
          <w:tcPr>
            <w:tcW w:w="523" w:type="pct"/>
            <w:tcBorders>
              <w:top w:val="nil"/>
              <w:left w:val="nil"/>
              <w:bottom w:val="single" w:sz="4" w:space="0" w:color="auto"/>
              <w:right w:val="single" w:sz="8" w:space="0" w:color="auto"/>
            </w:tcBorders>
            <w:shd w:val="clear" w:color="auto" w:fill="auto"/>
            <w:noWrap/>
            <w:vAlign w:val="center"/>
          </w:tcPr>
          <w:p w14:paraId="0989F4DC" w14:textId="06B5CC8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2,40</w:t>
            </w:r>
          </w:p>
        </w:tc>
        <w:tc>
          <w:tcPr>
            <w:tcW w:w="76" w:type="pct"/>
            <w:tcBorders>
              <w:top w:val="nil"/>
              <w:left w:val="nil"/>
              <w:bottom w:val="nil"/>
              <w:right w:val="nil"/>
            </w:tcBorders>
            <w:shd w:val="clear" w:color="auto" w:fill="auto"/>
            <w:noWrap/>
            <w:vAlign w:val="center"/>
          </w:tcPr>
          <w:p w14:paraId="0C8347C2" w14:textId="61E72DD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23649AEB" w14:textId="7A6A073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7,00</w:t>
            </w:r>
          </w:p>
        </w:tc>
        <w:tc>
          <w:tcPr>
            <w:tcW w:w="481" w:type="pct"/>
            <w:tcBorders>
              <w:top w:val="nil"/>
              <w:left w:val="nil"/>
              <w:bottom w:val="single" w:sz="4" w:space="0" w:color="auto"/>
              <w:right w:val="single" w:sz="8" w:space="0" w:color="auto"/>
            </w:tcBorders>
            <w:shd w:val="clear" w:color="000000" w:fill="F2F2F2"/>
            <w:noWrap/>
            <w:vAlign w:val="center"/>
          </w:tcPr>
          <w:p w14:paraId="6598011C" w14:textId="6FDE0FF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10,00</w:t>
            </w:r>
          </w:p>
        </w:tc>
      </w:tr>
      <w:tr w:rsidR="00297E43" w:rsidRPr="00297E43" w14:paraId="0B7B21D1"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38245B56"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65D0B5FA"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Participações  - Art. 8º, IV, "a"</w:t>
            </w:r>
          </w:p>
        </w:tc>
        <w:tc>
          <w:tcPr>
            <w:tcW w:w="474" w:type="pct"/>
            <w:tcBorders>
              <w:top w:val="nil"/>
              <w:left w:val="nil"/>
              <w:bottom w:val="single" w:sz="4" w:space="0" w:color="auto"/>
              <w:right w:val="single" w:sz="8" w:space="0" w:color="auto"/>
            </w:tcBorders>
            <w:shd w:val="clear" w:color="auto" w:fill="auto"/>
            <w:noWrap/>
            <w:vAlign w:val="center"/>
            <w:hideMark/>
          </w:tcPr>
          <w:p w14:paraId="12E21974"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single" w:sz="4" w:space="0" w:color="auto"/>
              <w:right w:val="single" w:sz="4" w:space="0" w:color="auto"/>
            </w:tcBorders>
            <w:shd w:val="clear" w:color="auto" w:fill="auto"/>
            <w:noWrap/>
            <w:vAlign w:val="center"/>
          </w:tcPr>
          <w:p w14:paraId="06F7449F" w14:textId="7EE4BE4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97.227,91</w:t>
            </w:r>
          </w:p>
        </w:tc>
        <w:tc>
          <w:tcPr>
            <w:tcW w:w="523" w:type="pct"/>
            <w:tcBorders>
              <w:top w:val="nil"/>
              <w:left w:val="nil"/>
              <w:bottom w:val="single" w:sz="4" w:space="0" w:color="auto"/>
              <w:right w:val="single" w:sz="8" w:space="0" w:color="auto"/>
            </w:tcBorders>
            <w:shd w:val="clear" w:color="auto" w:fill="auto"/>
            <w:noWrap/>
            <w:vAlign w:val="center"/>
          </w:tcPr>
          <w:p w14:paraId="57103431" w14:textId="0773DA5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0,17</w:t>
            </w:r>
          </w:p>
        </w:tc>
        <w:tc>
          <w:tcPr>
            <w:tcW w:w="76" w:type="pct"/>
            <w:tcBorders>
              <w:top w:val="nil"/>
              <w:left w:val="nil"/>
              <w:bottom w:val="nil"/>
              <w:right w:val="nil"/>
            </w:tcBorders>
            <w:shd w:val="clear" w:color="auto" w:fill="auto"/>
            <w:noWrap/>
            <w:vAlign w:val="center"/>
          </w:tcPr>
          <w:p w14:paraId="23AF30FE" w14:textId="67D6292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4" w:space="0" w:color="auto"/>
              <w:right w:val="single" w:sz="4" w:space="0" w:color="auto"/>
            </w:tcBorders>
            <w:shd w:val="clear" w:color="000000" w:fill="F2F2F2"/>
            <w:noWrap/>
            <w:vAlign w:val="center"/>
          </w:tcPr>
          <w:p w14:paraId="12F7370D" w14:textId="50A5054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2,00</w:t>
            </w:r>
          </w:p>
        </w:tc>
        <w:tc>
          <w:tcPr>
            <w:tcW w:w="481" w:type="pct"/>
            <w:tcBorders>
              <w:top w:val="nil"/>
              <w:left w:val="nil"/>
              <w:bottom w:val="single" w:sz="4" w:space="0" w:color="auto"/>
              <w:right w:val="single" w:sz="8" w:space="0" w:color="auto"/>
            </w:tcBorders>
            <w:shd w:val="clear" w:color="000000" w:fill="F2F2F2"/>
            <w:noWrap/>
            <w:vAlign w:val="center"/>
          </w:tcPr>
          <w:p w14:paraId="310798BC" w14:textId="35175A9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r>
      <w:tr w:rsidR="00297E43" w:rsidRPr="00297E43" w14:paraId="14658810"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0DCD0746"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nil"/>
              <w:right w:val="single" w:sz="4" w:space="0" w:color="auto"/>
            </w:tcBorders>
            <w:shd w:val="clear" w:color="auto" w:fill="auto"/>
            <w:noWrap/>
            <w:vAlign w:val="center"/>
            <w:hideMark/>
          </w:tcPr>
          <w:p w14:paraId="0D9CD2B0"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Imobiliário - Art. 8º, IV, "b"</w:t>
            </w:r>
          </w:p>
        </w:tc>
        <w:tc>
          <w:tcPr>
            <w:tcW w:w="474" w:type="pct"/>
            <w:tcBorders>
              <w:top w:val="nil"/>
              <w:left w:val="nil"/>
              <w:bottom w:val="nil"/>
              <w:right w:val="single" w:sz="8" w:space="0" w:color="auto"/>
            </w:tcBorders>
            <w:shd w:val="clear" w:color="auto" w:fill="auto"/>
            <w:noWrap/>
            <w:vAlign w:val="center"/>
            <w:hideMark/>
          </w:tcPr>
          <w:p w14:paraId="544B5DA3"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nil"/>
              <w:left w:val="nil"/>
              <w:bottom w:val="nil"/>
              <w:right w:val="single" w:sz="4" w:space="0" w:color="auto"/>
            </w:tcBorders>
            <w:shd w:val="clear" w:color="auto" w:fill="auto"/>
            <w:noWrap/>
            <w:vAlign w:val="center"/>
          </w:tcPr>
          <w:p w14:paraId="6A541CCA" w14:textId="0B03EA7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nil"/>
              <w:right w:val="single" w:sz="8" w:space="0" w:color="auto"/>
            </w:tcBorders>
            <w:shd w:val="clear" w:color="auto" w:fill="auto"/>
            <w:noWrap/>
            <w:vAlign w:val="center"/>
          </w:tcPr>
          <w:p w14:paraId="37E164C6" w14:textId="5323446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5CE3CF47" w14:textId="5EBEA741"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nil"/>
              <w:right w:val="single" w:sz="4" w:space="0" w:color="auto"/>
            </w:tcBorders>
            <w:shd w:val="clear" w:color="000000" w:fill="F2F2F2"/>
            <w:noWrap/>
            <w:vAlign w:val="center"/>
          </w:tcPr>
          <w:p w14:paraId="2A93BE58" w14:textId="65C96045"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2,00</w:t>
            </w:r>
          </w:p>
        </w:tc>
        <w:tc>
          <w:tcPr>
            <w:tcW w:w="481" w:type="pct"/>
            <w:tcBorders>
              <w:top w:val="nil"/>
              <w:left w:val="nil"/>
              <w:bottom w:val="nil"/>
              <w:right w:val="single" w:sz="8" w:space="0" w:color="auto"/>
            </w:tcBorders>
            <w:shd w:val="clear" w:color="000000" w:fill="F2F2F2"/>
            <w:noWrap/>
            <w:vAlign w:val="center"/>
          </w:tcPr>
          <w:p w14:paraId="00FA10DC" w14:textId="5BFBF17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5,00</w:t>
            </w:r>
          </w:p>
        </w:tc>
      </w:tr>
      <w:tr w:rsidR="00297E43" w:rsidRPr="00297E43" w14:paraId="247879A0" w14:textId="77777777" w:rsidTr="001152B6">
        <w:trPr>
          <w:gridAfter w:val="1"/>
          <w:trHeight w:val="315"/>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162193E0"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single" w:sz="4" w:space="0" w:color="auto"/>
              <w:left w:val="nil"/>
              <w:bottom w:val="single" w:sz="8" w:space="0" w:color="auto"/>
              <w:right w:val="single" w:sz="4" w:space="0" w:color="auto"/>
            </w:tcBorders>
            <w:shd w:val="clear" w:color="auto" w:fill="auto"/>
            <w:noWrap/>
            <w:vAlign w:val="center"/>
            <w:hideMark/>
          </w:tcPr>
          <w:p w14:paraId="2132B0FC"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Ações - Mercado de Acesso - Art. 8º, IV, "c"</w:t>
            </w:r>
          </w:p>
        </w:tc>
        <w:tc>
          <w:tcPr>
            <w:tcW w:w="474" w:type="pct"/>
            <w:tcBorders>
              <w:top w:val="single" w:sz="4" w:space="0" w:color="auto"/>
              <w:left w:val="nil"/>
              <w:bottom w:val="single" w:sz="8" w:space="0" w:color="auto"/>
              <w:right w:val="single" w:sz="8" w:space="0" w:color="auto"/>
            </w:tcBorders>
            <w:shd w:val="clear" w:color="auto" w:fill="auto"/>
            <w:noWrap/>
            <w:vAlign w:val="center"/>
            <w:hideMark/>
          </w:tcPr>
          <w:p w14:paraId="30BC8302"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5,00%</w:t>
            </w:r>
          </w:p>
        </w:tc>
        <w:tc>
          <w:tcPr>
            <w:tcW w:w="565" w:type="pct"/>
            <w:tcBorders>
              <w:top w:val="single" w:sz="4" w:space="0" w:color="auto"/>
              <w:left w:val="nil"/>
              <w:bottom w:val="single" w:sz="8" w:space="0" w:color="auto"/>
              <w:right w:val="single" w:sz="4" w:space="0" w:color="auto"/>
            </w:tcBorders>
            <w:shd w:val="clear" w:color="auto" w:fill="auto"/>
            <w:noWrap/>
            <w:vAlign w:val="center"/>
          </w:tcPr>
          <w:p w14:paraId="4AFAC28C" w14:textId="66A2499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single" w:sz="4" w:space="0" w:color="auto"/>
              <w:left w:val="nil"/>
              <w:bottom w:val="single" w:sz="8" w:space="0" w:color="auto"/>
              <w:right w:val="single" w:sz="8" w:space="0" w:color="auto"/>
            </w:tcBorders>
            <w:shd w:val="clear" w:color="auto" w:fill="auto"/>
            <w:noWrap/>
            <w:vAlign w:val="center"/>
          </w:tcPr>
          <w:p w14:paraId="11065CC0" w14:textId="330875F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3C20F27D" w14:textId="44B01AF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single" w:sz="4" w:space="0" w:color="auto"/>
              <w:left w:val="single" w:sz="8" w:space="0" w:color="auto"/>
              <w:bottom w:val="single" w:sz="8" w:space="0" w:color="auto"/>
              <w:right w:val="single" w:sz="4" w:space="0" w:color="auto"/>
            </w:tcBorders>
            <w:shd w:val="clear" w:color="000000" w:fill="F2F2F2"/>
            <w:noWrap/>
            <w:vAlign w:val="center"/>
          </w:tcPr>
          <w:p w14:paraId="57037CDA" w14:textId="0D244D2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single" w:sz="4" w:space="0" w:color="auto"/>
              <w:left w:val="nil"/>
              <w:bottom w:val="single" w:sz="8" w:space="0" w:color="auto"/>
              <w:right w:val="single" w:sz="8" w:space="0" w:color="auto"/>
            </w:tcBorders>
            <w:shd w:val="clear" w:color="000000" w:fill="F2F2F2"/>
            <w:noWrap/>
            <w:vAlign w:val="center"/>
          </w:tcPr>
          <w:p w14:paraId="3BD99010" w14:textId="30461F1C"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7C47CD72" w14:textId="77777777" w:rsidTr="001152B6">
        <w:trPr>
          <w:gridAfter w:val="1"/>
          <w:trHeight w:val="315"/>
        </w:trPr>
        <w:tc>
          <w:tcPr>
            <w:tcW w:w="373" w:type="pct"/>
            <w:tcBorders>
              <w:top w:val="nil"/>
              <w:left w:val="nil"/>
              <w:bottom w:val="nil"/>
              <w:right w:val="nil"/>
            </w:tcBorders>
            <w:shd w:val="clear" w:color="auto" w:fill="auto"/>
            <w:vAlign w:val="center"/>
            <w:hideMark/>
          </w:tcPr>
          <w:p w14:paraId="3CDEB15D"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1690" w:type="pct"/>
            <w:tcBorders>
              <w:top w:val="nil"/>
              <w:left w:val="single" w:sz="8" w:space="0" w:color="auto"/>
              <w:bottom w:val="single" w:sz="8" w:space="0" w:color="auto"/>
              <w:right w:val="single" w:sz="4" w:space="0" w:color="auto"/>
            </w:tcBorders>
            <w:shd w:val="clear" w:color="000000" w:fill="D9D9D9"/>
            <w:noWrap/>
            <w:vAlign w:val="center"/>
            <w:hideMark/>
          </w:tcPr>
          <w:p w14:paraId="46470624" w14:textId="77777777" w:rsidR="001152B6" w:rsidRPr="00297E43" w:rsidRDefault="001152B6" w:rsidP="001152B6">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de Renda Variável - Art. 8º, § 1°</w:t>
            </w:r>
          </w:p>
        </w:tc>
        <w:tc>
          <w:tcPr>
            <w:tcW w:w="474" w:type="pct"/>
            <w:tcBorders>
              <w:top w:val="nil"/>
              <w:left w:val="nil"/>
              <w:bottom w:val="single" w:sz="8" w:space="0" w:color="auto"/>
              <w:right w:val="single" w:sz="8" w:space="0" w:color="auto"/>
            </w:tcBorders>
            <w:shd w:val="clear" w:color="000000" w:fill="D9D9D9"/>
            <w:noWrap/>
            <w:vAlign w:val="center"/>
            <w:hideMark/>
          </w:tcPr>
          <w:p w14:paraId="2DC36640"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30,00%</w:t>
            </w:r>
          </w:p>
        </w:tc>
        <w:tc>
          <w:tcPr>
            <w:tcW w:w="565" w:type="pct"/>
            <w:tcBorders>
              <w:top w:val="nil"/>
              <w:left w:val="nil"/>
              <w:bottom w:val="single" w:sz="8" w:space="0" w:color="auto"/>
              <w:right w:val="single" w:sz="4" w:space="0" w:color="auto"/>
            </w:tcBorders>
            <w:shd w:val="clear" w:color="000000" w:fill="D9D9D9"/>
            <w:noWrap/>
            <w:vAlign w:val="center"/>
          </w:tcPr>
          <w:p w14:paraId="3C36708E" w14:textId="2865A64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3.655.895,36</w:t>
            </w:r>
            <w:r w:rsidRPr="00297E43">
              <w:rPr>
                <w:rFonts w:ascii="Calibri" w:eastAsia="Times New Roman" w:hAnsi="Calibri" w:cs="Times New Roman"/>
                <w:color w:val="auto"/>
                <w:sz w:val="11"/>
                <w:szCs w:val="11"/>
                <w:lang w:eastAsia="pt-BR"/>
              </w:rPr>
              <w:tab/>
            </w:r>
          </w:p>
        </w:tc>
        <w:tc>
          <w:tcPr>
            <w:tcW w:w="523" w:type="pct"/>
            <w:tcBorders>
              <w:top w:val="nil"/>
              <w:left w:val="nil"/>
              <w:bottom w:val="single" w:sz="8" w:space="0" w:color="auto"/>
              <w:right w:val="single" w:sz="8" w:space="0" w:color="auto"/>
            </w:tcBorders>
            <w:shd w:val="clear" w:color="000000" w:fill="D9D9D9"/>
            <w:noWrap/>
            <w:vAlign w:val="center"/>
          </w:tcPr>
          <w:p w14:paraId="0F88C01F" w14:textId="028C152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1"/>
                <w:szCs w:val="11"/>
                <w:lang w:eastAsia="pt-BR"/>
              </w:rPr>
              <w:t>6,55</w:t>
            </w:r>
          </w:p>
        </w:tc>
        <w:tc>
          <w:tcPr>
            <w:tcW w:w="76" w:type="pct"/>
            <w:tcBorders>
              <w:top w:val="nil"/>
              <w:left w:val="nil"/>
              <w:bottom w:val="nil"/>
              <w:right w:val="nil"/>
            </w:tcBorders>
            <w:shd w:val="clear" w:color="auto" w:fill="auto"/>
            <w:noWrap/>
            <w:vAlign w:val="center"/>
          </w:tcPr>
          <w:p w14:paraId="0C3F1226"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8" w:space="0" w:color="auto"/>
              <w:right w:val="single" w:sz="4" w:space="0" w:color="auto"/>
            </w:tcBorders>
            <w:shd w:val="clear" w:color="000000" w:fill="D9D9D9"/>
            <w:noWrap/>
            <w:vAlign w:val="center"/>
          </w:tcPr>
          <w:p w14:paraId="6AA7E7B6" w14:textId="797F1639"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1"/>
                <w:szCs w:val="11"/>
                <w:lang w:eastAsia="pt-BR"/>
              </w:rPr>
              <w:t>18,00</w:t>
            </w:r>
          </w:p>
        </w:tc>
        <w:tc>
          <w:tcPr>
            <w:tcW w:w="481" w:type="pct"/>
            <w:tcBorders>
              <w:top w:val="nil"/>
              <w:left w:val="nil"/>
              <w:bottom w:val="single" w:sz="8" w:space="0" w:color="auto"/>
              <w:right w:val="single" w:sz="8" w:space="0" w:color="auto"/>
            </w:tcBorders>
            <w:shd w:val="clear" w:color="000000" w:fill="D9D9D9"/>
            <w:noWrap/>
            <w:vAlign w:val="center"/>
          </w:tcPr>
          <w:p w14:paraId="46711BE4" w14:textId="6B6AE6B9"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1"/>
                <w:szCs w:val="11"/>
                <w:lang w:eastAsia="pt-BR"/>
              </w:rPr>
              <w:t>40,00</w:t>
            </w:r>
          </w:p>
        </w:tc>
      </w:tr>
      <w:tr w:rsidR="00297E43" w:rsidRPr="00297E43" w14:paraId="18568858" w14:textId="77777777" w:rsidTr="001152B6">
        <w:trPr>
          <w:gridAfter w:val="1"/>
          <w:trHeight w:val="180"/>
        </w:trPr>
        <w:tc>
          <w:tcPr>
            <w:tcW w:w="373" w:type="pct"/>
            <w:tcBorders>
              <w:top w:val="nil"/>
              <w:left w:val="nil"/>
              <w:bottom w:val="nil"/>
              <w:right w:val="nil"/>
            </w:tcBorders>
            <w:shd w:val="clear" w:color="auto" w:fill="auto"/>
            <w:vAlign w:val="center"/>
            <w:hideMark/>
          </w:tcPr>
          <w:p w14:paraId="69A18386"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p>
        </w:tc>
        <w:tc>
          <w:tcPr>
            <w:tcW w:w="1690" w:type="pct"/>
            <w:tcBorders>
              <w:top w:val="nil"/>
              <w:left w:val="nil"/>
              <w:bottom w:val="nil"/>
              <w:right w:val="nil"/>
            </w:tcBorders>
            <w:shd w:val="clear" w:color="auto" w:fill="auto"/>
            <w:noWrap/>
            <w:vAlign w:val="center"/>
            <w:hideMark/>
          </w:tcPr>
          <w:p w14:paraId="743FA848"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74" w:type="pct"/>
            <w:tcBorders>
              <w:top w:val="nil"/>
              <w:left w:val="nil"/>
              <w:bottom w:val="nil"/>
              <w:right w:val="nil"/>
            </w:tcBorders>
            <w:shd w:val="clear" w:color="auto" w:fill="auto"/>
            <w:noWrap/>
            <w:vAlign w:val="center"/>
            <w:hideMark/>
          </w:tcPr>
          <w:p w14:paraId="4927D4FB" w14:textId="77777777" w:rsidR="001152B6" w:rsidRPr="00297E43" w:rsidRDefault="001152B6" w:rsidP="001152B6">
            <w:pPr>
              <w:spacing w:after="0" w:line="240" w:lineRule="auto"/>
              <w:jc w:val="left"/>
              <w:rPr>
                <w:rFonts w:ascii="Times New Roman" w:eastAsia="Times New Roman" w:hAnsi="Times New Roman" w:cs="Times New Roman"/>
                <w:color w:val="auto"/>
                <w:sz w:val="12"/>
                <w:szCs w:val="20"/>
                <w:lang w:eastAsia="pt-BR"/>
              </w:rPr>
            </w:pPr>
          </w:p>
        </w:tc>
        <w:tc>
          <w:tcPr>
            <w:tcW w:w="565" w:type="pct"/>
            <w:tcBorders>
              <w:top w:val="nil"/>
              <w:left w:val="nil"/>
              <w:bottom w:val="nil"/>
              <w:right w:val="nil"/>
            </w:tcBorders>
            <w:shd w:val="clear" w:color="auto" w:fill="auto"/>
            <w:noWrap/>
            <w:vAlign w:val="center"/>
          </w:tcPr>
          <w:p w14:paraId="182280B8"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523" w:type="pct"/>
            <w:tcBorders>
              <w:top w:val="nil"/>
              <w:left w:val="nil"/>
              <w:bottom w:val="nil"/>
              <w:right w:val="nil"/>
            </w:tcBorders>
            <w:shd w:val="clear" w:color="auto" w:fill="auto"/>
            <w:noWrap/>
            <w:vAlign w:val="center"/>
          </w:tcPr>
          <w:p w14:paraId="7EB0DD05"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76" w:type="pct"/>
            <w:tcBorders>
              <w:top w:val="nil"/>
              <w:left w:val="nil"/>
              <w:bottom w:val="nil"/>
              <w:right w:val="nil"/>
            </w:tcBorders>
            <w:shd w:val="clear" w:color="auto" w:fill="auto"/>
            <w:noWrap/>
            <w:vAlign w:val="center"/>
          </w:tcPr>
          <w:p w14:paraId="621C0246"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79" w:type="pct"/>
            <w:tcBorders>
              <w:top w:val="nil"/>
              <w:left w:val="nil"/>
              <w:bottom w:val="nil"/>
              <w:right w:val="nil"/>
            </w:tcBorders>
            <w:shd w:val="clear" w:color="auto" w:fill="auto"/>
            <w:noWrap/>
            <w:vAlign w:val="bottom"/>
          </w:tcPr>
          <w:p w14:paraId="67902233" w14:textId="77777777" w:rsidR="001152B6" w:rsidRPr="00297E43" w:rsidRDefault="001152B6" w:rsidP="001152B6">
            <w:pPr>
              <w:spacing w:after="0" w:line="240" w:lineRule="auto"/>
              <w:jc w:val="center"/>
              <w:rPr>
                <w:rFonts w:ascii="Times New Roman" w:eastAsia="Times New Roman" w:hAnsi="Times New Roman" w:cs="Times New Roman"/>
                <w:color w:val="auto"/>
                <w:sz w:val="12"/>
                <w:szCs w:val="20"/>
                <w:lang w:eastAsia="pt-BR"/>
              </w:rPr>
            </w:pPr>
          </w:p>
        </w:tc>
        <w:tc>
          <w:tcPr>
            <w:tcW w:w="481" w:type="pct"/>
            <w:tcBorders>
              <w:top w:val="nil"/>
              <w:left w:val="nil"/>
              <w:bottom w:val="nil"/>
              <w:right w:val="nil"/>
            </w:tcBorders>
            <w:shd w:val="clear" w:color="auto" w:fill="auto"/>
            <w:noWrap/>
            <w:vAlign w:val="bottom"/>
          </w:tcPr>
          <w:p w14:paraId="1F7CF883" w14:textId="77777777" w:rsidR="001152B6" w:rsidRPr="00297E43" w:rsidRDefault="001152B6" w:rsidP="001152B6">
            <w:pPr>
              <w:spacing w:after="0" w:line="240" w:lineRule="auto"/>
              <w:jc w:val="left"/>
              <w:rPr>
                <w:rFonts w:ascii="Times New Roman" w:eastAsia="Times New Roman" w:hAnsi="Times New Roman" w:cs="Times New Roman"/>
                <w:color w:val="auto"/>
                <w:sz w:val="12"/>
                <w:szCs w:val="20"/>
                <w:lang w:eastAsia="pt-BR"/>
              </w:rPr>
            </w:pPr>
          </w:p>
        </w:tc>
      </w:tr>
      <w:tr w:rsidR="00297E43" w:rsidRPr="00297E43" w14:paraId="29B3CB2D" w14:textId="77777777" w:rsidTr="001152B6">
        <w:trPr>
          <w:gridAfter w:val="1"/>
          <w:trHeight w:val="300"/>
        </w:trPr>
        <w:tc>
          <w:tcPr>
            <w:tcW w:w="37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AB947C6" w14:textId="77777777" w:rsidR="001152B6" w:rsidRPr="00297E43" w:rsidRDefault="001152B6" w:rsidP="001152B6">
            <w:pPr>
              <w:spacing w:after="0" w:line="240" w:lineRule="auto"/>
              <w:jc w:val="center"/>
              <w:rPr>
                <w:rFonts w:ascii="Calibri" w:eastAsia="Times New Roman" w:hAnsi="Calibri" w:cs="Times New Roman"/>
                <w:b/>
                <w:bCs/>
                <w:color w:val="auto"/>
                <w:sz w:val="12"/>
                <w:szCs w:val="18"/>
                <w:lang w:eastAsia="pt-BR"/>
              </w:rPr>
            </w:pPr>
            <w:r w:rsidRPr="00297E43">
              <w:rPr>
                <w:rFonts w:ascii="Calibri" w:eastAsia="Times New Roman" w:hAnsi="Calibri" w:cs="Times New Roman"/>
                <w:b/>
                <w:bCs/>
                <w:color w:val="auto"/>
                <w:sz w:val="12"/>
                <w:szCs w:val="18"/>
                <w:lang w:eastAsia="pt-BR"/>
              </w:rPr>
              <w:t>Invest. No Exterior</w:t>
            </w:r>
          </w:p>
        </w:tc>
        <w:tc>
          <w:tcPr>
            <w:tcW w:w="1690" w:type="pct"/>
            <w:tcBorders>
              <w:top w:val="single" w:sz="8" w:space="0" w:color="auto"/>
              <w:left w:val="nil"/>
              <w:bottom w:val="single" w:sz="4" w:space="0" w:color="auto"/>
              <w:right w:val="single" w:sz="4" w:space="0" w:color="auto"/>
            </w:tcBorders>
            <w:shd w:val="clear" w:color="auto" w:fill="auto"/>
            <w:noWrap/>
            <w:vAlign w:val="center"/>
            <w:hideMark/>
          </w:tcPr>
          <w:p w14:paraId="41034C6C"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de Renda Fixa - Dívida Externa - Art. 9ºA, I</w:t>
            </w:r>
          </w:p>
        </w:tc>
        <w:tc>
          <w:tcPr>
            <w:tcW w:w="474" w:type="pct"/>
            <w:tcBorders>
              <w:top w:val="single" w:sz="8" w:space="0" w:color="auto"/>
              <w:left w:val="nil"/>
              <w:bottom w:val="single" w:sz="4" w:space="0" w:color="auto"/>
              <w:right w:val="single" w:sz="8" w:space="0" w:color="auto"/>
            </w:tcBorders>
            <w:shd w:val="clear" w:color="auto" w:fill="auto"/>
            <w:noWrap/>
            <w:vAlign w:val="center"/>
            <w:hideMark/>
          </w:tcPr>
          <w:p w14:paraId="3697AEBD"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w:t>
            </w:r>
          </w:p>
        </w:tc>
        <w:tc>
          <w:tcPr>
            <w:tcW w:w="565" w:type="pct"/>
            <w:tcBorders>
              <w:top w:val="single" w:sz="8" w:space="0" w:color="auto"/>
              <w:left w:val="nil"/>
              <w:bottom w:val="single" w:sz="4" w:space="0" w:color="auto"/>
              <w:right w:val="single" w:sz="4" w:space="0" w:color="auto"/>
            </w:tcBorders>
            <w:shd w:val="clear" w:color="auto" w:fill="auto"/>
            <w:noWrap/>
            <w:vAlign w:val="center"/>
          </w:tcPr>
          <w:p w14:paraId="74176AE3" w14:textId="2B8059D6"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single" w:sz="8" w:space="0" w:color="auto"/>
              <w:left w:val="nil"/>
              <w:bottom w:val="single" w:sz="4" w:space="0" w:color="auto"/>
              <w:right w:val="single" w:sz="8" w:space="0" w:color="auto"/>
            </w:tcBorders>
            <w:shd w:val="clear" w:color="auto" w:fill="auto"/>
            <w:noWrap/>
            <w:vAlign w:val="center"/>
          </w:tcPr>
          <w:p w14:paraId="416C8BB0" w14:textId="78ECB24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7C37B746"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single" w:sz="8" w:space="0" w:color="auto"/>
              <w:left w:val="single" w:sz="8" w:space="0" w:color="auto"/>
              <w:bottom w:val="single" w:sz="4" w:space="0" w:color="auto"/>
              <w:right w:val="single" w:sz="4" w:space="0" w:color="auto"/>
            </w:tcBorders>
            <w:shd w:val="clear" w:color="000000" w:fill="F2F2F2"/>
            <w:noWrap/>
            <w:vAlign w:val="center"/>
          </w:tcPr>
          <w:p w14:paraId="007EFE8E" w14:textId="7CF9097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single" w:sz="8" w:space="0" w:color="auto"/>
              <w:left w:val="nil"/>
              <w:bottom w:val="single" w:sz="4" w:space="0" w:color="auto"/>
              <w:right w:val="single" w:sz="8" w:space="0" w:color="auto"/>
            </w:tcBorders>
            <w:shd w:val="clear" w:color="000000" w:fill="F2F2F2"/>
            <w:noWrap/>
            <w:vAlign w:val="center"/>
          </w:tcPr>
          <w:p w14:paraId="22F84675" w14:textId="36C9F64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4EB3AD16" w14:textId="77777777" w:rsidTr="001152B6">
        <w:trPr>
          <w:gridAfter w:val="1"/>
          <w:trHeight w:val="300"/>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71864610"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4" w:space="0" w:color="auto"/>
              <w:right w:val="single" w:sz="4" w:space="0" w:color="auto"/>
            </w:tcBorders>
            <w:shd w:val="clear" w:color="auto" w:fill="auto"/>
            <w:noWrap/>
            <w:vAlign w:val="center"/>
            <w:hideMark/>
          </w:tcPr>
          <w:p w14:paraId="473ACBA9"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Constituidos no Brasil - Investimentos no Exterior - Art. 9ºA, II</w:t>
            </w:r>
          </w:p>
        </w:tc>
        <w:tc>
          <w:tcPr>
            <w:tcW w:w="474" w:type="pct"/>
            <w:tcBorders>
              <w:top w:val="nil"/>
              <w:left w:val="nil"/>
              <w:bottom w:val="single" w:sz="4" w:space="0" w:color="auto"/>
              <w:right w:val="single" w:sz="8" w:space="0" w:color="auto"/>
            </w:tcBorders>
            <w:shd w:val="clear" w:color="auto" w:fill="auto"/>
            <w:noWrap/>
            <w:vAlign w:val="center"/>
            <w:hideMark/>
          </w:tcPr>
          <w:p w14:paraId="35A3ED95"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w:t>
            </w:r>
          </w:p>
        </w:tc>
        <w:tc>
          <w:tcPr>
            <w:tcW w:w="565" w:type="pct"/>
            <w:tcBorders>
              <w:top w:val="nil"/>
              <w:left w:val="nil"/>
              <w:bottom w:val="single" w:sz="4" w:space="0" w:color="auto"/>
              <w:right w:val="single" w:sz="4" w:space="0" w:color="auto"/>
            </w:tcBorders>
            <w:shd w:val="clear" w:color="auto" w:fill="auto"/>
            <w:noWrap/>
            <w:vAlign w:val="center"/>
          </w:tcPr>
          <w:p w14:paraId="6CDE4923" w14:textId="0566D1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4" w:space="0" w:color="auto"/>
              <w:right w:val="single" w:sz="8" w:space="0" w:color="auto"/>
            </w:tcBorders>
            <w:shd w:val="clear" w:color="auto" w:fill="auto"/>
            <w:noWrap/>
            <w:vAlign w:val="center"/>
          </w:tcPr>
          <w:p w14:paraId="26A8C604" w14:textId="212AE38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33C15C7F"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nil"/>
              <w:right w:val="single" w:sz="4" w:space="0" w:color="auto"/>
            </w:tcBorders>
            <w:shd w:val="clear" w:color="000000" w:fill="F2F2F2"/>
            <w:noWrap/>
            <w:vAlign w:val="center"/>
          </w:tcPr>
          <w:p w14:paraId="1C065433" w14:textId="72E047AE"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nil"/>
              <w:left w:val="nil"/>
              <w:bottom w:val="nil"/>
              <w:right w:val="single" w:sz="8" w:space="0" w:color="auto"/>
            </w:tcBorders>
            <w:shd w:val="clear" w:color="000000" w:fill="F2F2F2"/>
            <w:noWrap/>
            <w:vAlign w:val="center"/>
          </w:tcPr>
          <w:p w14:paraId="39D8D6C2" w14:textId="76032CF2"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6B84F799" w14:textId="77777777" w:rsidTr="001152B6">
        <w:trPr>
          <w:gridAfter w:val="1"/>
          <w:trHeight w:val="315"/>
        </w:trPr>
        <w:tc>
          <w:tcPr>
            <w:tcW w:w="373" w:type="pct"/>
            <w:vMerge/>
            <w:tcBorders>
              <w:top w:val="single" w:sz="8" w:space="0" w:color="auto"/>
              <w:left w:val="single" w:sz="8" w:space="0" w:color="auto"/>
              <w:bottom w:val="single" w:sz="8" w:space="0" w:color="000000"/>
              <w:right w:val="single" w:sz="8" w:space="0" w:color="auto"/>
            </w:tcBorders>
            <w:vAlign w:val="center"/>
            <w:hideMark/>
          </w:tcPr>
          <w:p w14:paraId="5E041250" w14:textId="77777777" w:rsidR="001152B6" w:rsidRPr="00297E43" w:rsidRDefault="001152B6" w:rsidP="001152B6">
            <w:pPr>
              <w:spacing w:after="0" w:line="240" w:lineRule="auto"/>
              <w:jc w:val="left"/>
              <w:rPr>
                <w:rFonts w:ascii="Calibri" w:eastAsia="Times New Roman" w:hAnsi="Calibri" w:cs="Times New Roman"/>
                <w:b/>
                <w:bCs/>
                <w:color w:val="auto"/>
                <w:sz w:val="12"/>
                <w:szCs w:val="18"/>
                <w:lang w:eastAsia="pt-BR"/>
              </w:rPr>
            </w:pPr>
          </w:p>
        </w:tc>
        <w:tc>
          <w:tcPr>
            <w:tcW w:w="1690" w:type="pct"/>
            <w:tcBorders>
              <w:top w:val="nil"/>
              <w:left w:val="nil"/>
              <w:bottom w:val="single" w:sz="8" w:space="0" w:color="auto"/>
              <w:right w:val="single" w:sz="4" w:space="0" w:color="auto"/>
            </w:tcBorders>
            <w:shd w:val="clear" w:color="auto" w:fill="auto"/>
            <w:noWrap/>
            <w:vAlign w:val="center"/>
            <w:hideMark/>
          </w:tcPr>
          <w:p w14:paraId="5D3F616D" w14:textId="77777777" w:rsidR="001152B6" w:rsidRPr="00297E43" w:rsidRDefault="001152B6" w:rsidP="001152B6">
            <w:pPr>
              <w:spacing w:after="0" w:line="240" w:lineRule="auto"/>
              <w:jc w:val="left"/>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FI em Ações BDR Nível I -  - Art. 9ºA, III</w:t>
            </w:r>
          </w:p>
        </w:tc>
        <w:tc>
          <w:tcPr>
            <w:tcW w:w="474" w:type="pct"/>
            <w:tcBorders>
              <w:top w:val="nil"/>
              <w:left w:val="nil"/>
              <w:bottom w:val="single" w:sz="8" w:space="0" w:color="auto"/>
              <w:right w:val="single" w:sz="8" w:space="0" w:color="auto"/>
            </w:tcBorders>
            <w:shd w:val="clear" w:color="auto" w:fill="auto"/>
            <w:noWrap/>
            <w:vAlign w:val="center"/>
            <w:hideMark/>
          </w:tcPr>
          <w:p w14:paraId="63896EAF"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r w:rsidRPr="00297E43">
              <w:rPr>
                <w:rFonts w:ascii="Calibri" w:eastAsia="Times New Roman" w:hAnsi="Calibri" w:cs="Times New Roman"/>
                <w:color w:val="auto"/>
                <w:sz w:val="12"/>
                <w:szCs w:val="16"/>
                <w:lang w:eastAsia="pt-BR"/>
              </w:rPr>
              <w:t>10,00%</w:t>
            </w:r>
          </w:p>
        </w:tc>
        <w:tc>
          <w:tcPr>
            <w:tcW w:w="565" w:type="pct"/>
            <w:tcBorders>
              <w:top w:val="nil"/>
              <w:left w:val="nil"/>
              <w:bottom w:val="single" w:sz="8" w:space="0" w:color="auto"/>
              <w:right w:val="single" w:sz="4" w:space="0" w:color="auto"/>
            </w:tcBorders>
            <w:shd w:val="clear" w:color="auto" w:fill="auto"/>
            <w:noWrap/>
            <w:vAlign w:val="center"/>
          </w:tcPr>
          <w:p w14:paraId="2A68127B" w14:textId="65385224"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8" w:space="0" w:color="auto"/>
              <w:right w:val="single" w:sz="8" w:space="0" w:color="auto"/>
            </w:tcBorders>
            <w:shd w:val="clear" w:color="auto" w:fill="auto"/>
            <w:noWrap/>
            <w:vAlign w:val="center"/>
          </w:tcPr>
          <w:p w14:paraId="7599C987" w14:textId="2C160E88"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27D53FDF"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single" w:sz="4" w:space="0" w:color="auto"/>
              <w:left w:val="single" w:sz="8" w:space="0" w:color="auto"/>
              <w:bottom w:val="single" w:sz="8" w:space="0" w:color="auto"/>
              <w:right w:val="single" w:sz="4" w:space="0" w:color="auto"/>
            </w:tcBorders>
            <w:shd w:val="clear" w:color="000000" w:fill="F2F2F2"/>
            <w:noWrap/>
            <w:vAlign w:val="center"/>
          </w:tcPr>
          <w:p w14:paraId="3B00235B" w14:textId="11B01B5A"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81" w:type="pct"/>
            <w:tcBorders>
              <w:top w:val="single" w:sz="4" w:space="0" w:color="auto"/>
              <w:left w:val="nil"/>
              <w:bottom w:val="single" w:sz="8" w:space="0" w:color="auto"/>
              <w:right w:val="single" w:sz="8" w:space="0" w:color="auto"/>
            </w:tcBorders>
            <w:shd w:val="clear" w:color="000000" w:fill="F2F2F2"/>
            <w:noWrap/>
            <w:vAlign w:val="center"/>
          </w:tcPr>
          <w:p w14:paraId="0F592FA1" w14:textId="547E7089"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r>
      <w:tr w:rsidR="00297E43" w:rsidRPr="00297E43" w14:paraId="42E47EB7" w14:textId="77777777" w:rsidTr="001152B6">
        <w:trPr>
          <w:gridAfter w:val="1"/>
          <w:trHeight w:val="315"/>
        </w:trPr>
        <w:tc>
          <w:tcPr>
            <w:tcW w:w="373" w:type="pct"/>
            <w:tcBorders>
              <w:top w:val="nil"/>
              <w:left w:val="nil"/>
              <w:bottom w:val="nil"/>
              <w:right w:val="nil"/>
            </w:tcBorders>
            <w:shd w:val="clear" w:color="auto" w:fill="auto"/>
            <w:noWrap/>
            <w:vAlign w:val="bottom"/>
            <w:hideMark/>
          </w:tcPr>
          <w:p w14:paraId="671B86B1"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1690" w:type="pct"/>
            <w:tcBorders>
              <w:top w:val="nil"/>
              <w:left w:val="single" w:sz="8" w:space="0" w:color="auto"/>
              <w:bottom w:val="single" w:sz="8" w:space="0" w:color="auto"/>
              <w:right w:val="single" w:sz="4" w:space="0" w:color="auto"/>
            </w:tcBorders>
            <w:shd w:val="clear" w:color="000000" w:fill="D9D9D9"/>
            <w:noWrap/>
            <w:vAlign w:val="center"/>
            <w:hideMark/>
          </w:tcPr>
          <w:p w14:paraId="260B1389" w14:textId="77777777" w:rsidR="001152B6" w:rsidRPr="00297E43" w:rsidRDefault="001152B6" w:rsidP="001152B6">
            <w:pPr>
              <w:spacing w:after="0" w:line="240" w:lineRule="auto"/>
              <w:jc w:val="left"/>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Limite de Investimentos no Exterior - Art. 9°-A</w:t>
            </w:r>
          </w:p>
        </w:tc>
        <w:tc>
          <w:tcPr>
            <w:tcW w:w="474" w:type="pct"/>
            <w:tcBorders>
              <w:top w:val="nil"/>
              <w:left w:val="nil"/>
              <w:bottom w:val="single" w:sz="8" w:space="0" w:color="auto"/>
              <w:right w:val="single" w:sz="8" w:space="0" w:color="auto"/>
            </w:tcBorders>
            <w:shd w:val="clear" w:color="000000" w:fill="D9D9D9"/>
            <w:noWrap/>
            <w:vAlign w:val="center"/>
            <w:hideMark/>
          </w:tcPr>
          <w:p w14:paraId="11F94371"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r w:rsidRPr="00297E43">
              <w:rPr>
                <w:rFonts w:ascii="Calibri" w:eastAsia="Times New Roman" w:hAnsi="Calibri" w:cs="Times New Roman"/>
                <w:b/>
                <w:bCs/>
                <w:color w:val="auto"/>
                <w:sz w:val="12"/>
                <w:szCs w:val="16"/>
                <w:lang w:eastAsia="pt-BR"/>
              </w:rPr>
              <w:t>10,00%</w:t>
            </w:r>
          </w:p>
        </w:tc>
        <w:tc>
          <w:tcPr>
            <w:tcW w:w="565" w:type="pct"/>
            <w:tcBorders>
              <w:top w:val="nil"/>
              <w:left w:val="nil"/>
              <w:bottom w:val="single" w:sz="8" w:space="0" w:color="auto"/>
              <w:right w:val="single" w:sz="4" w:space="0" w:color="auto"/>
            </w:tcBorders>
            <w:shd w:val="clear" w:color="000000" w:fill="D9D9D9"/>
            <w:noWrap/>
            <w:vAlign w:val="center"/>
          </w:tcPr>
          <w:p w14:paraId="229D0345" w14:textId="6AE9148F"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523" w:type="pct"/>
            <w:tcBorders>
              <w:top w:val="nil"/>
              <w:left w:val="nil"/>
              <w:bottom w:val="single" w:sz="8" w:space="0" w:color="auto"/>
              <w:right w:val="single" w:sz="8" w:space="0" w:color="auto"/>
            </w:tcBorders>
            <w:shd w:val="clear" w:color="000000" w:fill="D9D9D9"/>
            <w:noWrap/>
            <w:vAlign w:val="center"/>
          </w:tcPr>
          <w:p w14:paraId="7C9330E6" w14:textId="6240CC43"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76" w:type="pct"/>
            <w:tcBorders>
              <w:top w:val="nil"/>
              <w:left w:val="nil"/>
              <w:bottom w:val="nil"/>
              <w:right w:val="nil"/>
            </w:tcBorders>
            <w:shd w:val="clear" w:color="auto" w:fill="auto"/>
            <w:noWrap/>
            <w:vAlign w:val="center"/>
          </w:tcPr>
          <w:p w14:paraId="35C7E8A8" w14:textId="77777777" w:rsidR="001152B6" w:rsidRPr="00297E43" w:rsidRDefault="001152B6" w:rsidP="001152B6">
            <w:pPr>
              <w:spacing w:after="0" w:line="240" w:lineRule="auto"/>
              <w:jc w:val="center"/>
              <w:rPr>
                <w:rFonts w:ascii="Calibri" w:eastAsia="Times New Roman" w:hAnsi="Calibri" w:cs="Times New Roman"/>
                <w:color w:val="auto"/>
                <w:sz w:val="12"/>
                <w:szCs w:val="16"/>
                <w:lang w:eastAsia="pt-BR"/>
              </w:rPr>
            </w:pPr>
          </w:p>
        </w:tc>
        <w:tc>
          <w:tcPr>
            <w:tcW w:w="479" w:type="pct"/>
            <w:tcBorders>
              <w:top w:val="nil"/>
              <w:left w:val="single" w:sz="8" w:space="0" w:color="auto"/>
              <w:bottom w:val="single" w:sz="8" w:space="0" w:color="auto"/>
              <w:right w:val="single" w:sz="4" w:space="0" w:color="auto"/>
            </w:tcBorders>
            <w:shd w:val="clear" w:color="000000" w:fill="D9D9D9"/>
            <w:noWrap/>
            <w:vAlign w:val="center"/>
          </w:tcPr>
          <w:p w14:paraId="51354DAC" w14:textId="6755D106"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p>
        </w:tc>
        <w:tc>
          <w:tcPr>
            <w:tcW w:w="481" w:type="pct"/>
            <w:tcBorders>
              <w:top w:val="nil"/>
              <w:left w:val="nil"/>
              <w:bottom w:val="single" w:sz="8" w:space="0" w:color="auto"/>
              <w:right w:val="single" w:sz="8" w:space="0" w:color="auto"/>
            </w:tcBorders>
            <w:shd w:val="clear" w:color="000000" w:fill="D9D9D9"/>
            <w:noWrap/>
            <w:vAlign w:val="center"/>
          </w:tcPr>
          <w:p w14:paraId="04F194C2" w14:textId="3CB42E02"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p>
        </w:tc>
      </w:tr>
      <w:tr w:rsidR="00297E43" w:rsidRPr="00297E43" w14:paraId="0F93A114" w14:textId="7F224382" w:rsidTr="001152B6">
        <w:trPr>
          <w:trHeight w:val="315"/>
        </w:trPr>
        <w:tc>
          <w:tcPr>
            <w:tcW w:w="373" w:type="pct"/>
            <w:tcBorders>
              <w:top w:val="nil"/>
              <w:left w:val="nil"/>
              <w:bottom w:val="nil"/>
              <w:right w:val="nil"/>
            </w:tcBorders>
            <w:shd w:val="clear" w:color="auto" w:fill="auto"/>
            <w:noWrap/>
            <w:vAlign w:val="bottom"/>
            <w:hideMark/>
          </w:tcPr>
          <w:p w14:paraId="52DDFAB6" w14:textId="77777777" w:rsidR="001152B6" w:rsidRPr="00297E43" w:rsidRDefault="001152B6" w:rsidP="001152B6">
            <w:pPr>
              <w:spacing w:after="0" w:line="240" w:lineRule="auto"/>
              <w:jc w:val="center"/>
              <w:rPr>
                <w:rFonts w:ascii="Calibri" w:eastAsia="Times New Roman" w:hAnsi="Calibri" w:cs="Times New Roman"/>
                <w:b/>
                <w:bCs/>
                <w:color w:val="auto"/>
                <w:sz w:val="12"/>
                <w:szCs w:val="16"/>
                <w:lang w:eastAsia="pt-BR"/>
              </w:rPr>
            </w:pPr>
          </w:p>
        </w:tc>
        <w:tc>
          <w:tcPr>
            <w:tcW w:w="2163"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8E7F5DB" w14:textId="77777777" w:rsidR="001152B6" w:rsidRPr="00297E43" w:rsidRDefault="001152B6" w:rsidP="001152B6">
            <w:pPr>
              <w:spacing w:after="0" w:line="240" w:lineRule="auto"/>
              <w:jc w:val="center"/>
              <w:rPr>
                <w:rFonts w:ascii="Calibri" w:eastAsia="Times New Roman" w:hAnsi="Calibri" w:cs="Times New Roman"/>
                <w:b/>
                <w:bCs/>
                <w:color w:val="auto"/>
                <w:sz w:val="12"/>
                <w:lang w:eastAsia="pt-BR"/>
              </w:rPr>
            </w:pPr>
            <w:r w:rsidRPr="00297E43">
              <w:rPr>
                <w:rFonts w:ascii="Calibri" w:eastAsia="Times New Roman" w:hAnsi="Calibri" w:cs="Times New Roman"/>
                <w:b/>
                <w:bCs/>
                <w:color w:val="auto"/>
                <w:sz w:val="12"/>
                <w:lang w:eastAsia="pt-BR"/>
              </w:rPr>
              <w:t>Total da Carteira de Investimentos</w:t>
            </w:r>
          </w:p>
        </w:tc>
        <w:tc>
          <w:tcPr>
            <w:tcW w:w="565" w:type="pct"/>
            <w:tcBorders>
              <w:top w:val="nil"/>
              <w:left w:val="nil"/>
              <w:bottom w:val="single" w:sz="8" w:space="0" w:color="auto"/>
              <w:right w:val="single" w:sz="4" w:space="0" w:color="auto"/>
            </w:tcBorders>
            <w:shd w:val="clear" w:color="000000" w:fill="D9D9D9"/>
            <w:noWrap/>
            <w:vAlign w:val="center"/>
          </w:tcPr>
          <w:p w14:paraId="65CF8EF3" w14:textId="286DF3FF" w:rsidR="001152B6" w:rsidRPr="00297E43" w:rsidRDefault="001152B6" w:rsidP="001152B6">
            <w:pPr>
              <w:spacing w:after="0" w:line="240" w:lineRule="auto"/>
              <w:jc w:val="center"/>
              <w:rPr>
                <w:rFonts w:ascii="Calibri" w:eastAsia="Times New Roman" w:hAnsi="Calibri" w:cs="Times New Roman"/>
                <w:color w:val="auto"/>
                <w:sz w:val="12"/>
                <w:lang w:eastAsia="pt-BR"/>
              </w:rPr>
            </w:pPr>
            <w:r w:rsidRPr="00297E43">
              <w:rPr>
                <w:rFonts w:ascii="Calibri" w:eastAsia="Times New Roman" w:hAnsi="Calibri" w:cs="Times New Roman"/>
                <w:color w:val="auto"/>
                <w:sz w:val="12"/>
                <w:lang w:eastAsia="pt-BR"/>
              </w:rPr>
              <w:t>55.846.908,62</w:t>
            </w:r>
          </w:p>
        </w:tc>
        <w:tc>
          <w:tcPr>
            <w:tcW w:w="523" w:type="pct"/>
            <w:tcBorders>
              <w:top w:val="nil"/>
              <w:left w:val="nil"/>
              <w:bottom w:val="single" w:sz="8" w:space="0" w:color="auto"/>
              <w:right w:val="single" w:sz="8" w:space="0" w:color="auto"/>
            </w:tcBorders>
            <w:shd w:val="clear" w:color="000000" w:fill="D9D9D9"/>
            <w:noWrap/>
            <w:vAlign w:val="center"/>
          </w:tcPr>
          <w:p w14:paraId="66ABE98D" w14:textId="2D171E91" w:rsidR="001152B6" w:rsidRPr="00297E43" w:rsidRDefault="001152B6" w:rsidP="001152B6">
            <w:pPr>
              <w:spacing w:after="0" w:line="240" w:lineRule="auto"/>
              <w:jc w:val="center"/>
              <w:rPr>
                <w:rFonts w:ascii="Calibri" w:eastAsia="Times New Roman" w:hAnsi="Calibri" w:cs="Times New Roman"/>
                <w:color w:val="auto"/>
                <w:sz w:val="12"/>
                <w:lang w:eastAsia="pt-BR"/>
              </w:rPr>
            </w:pPr>
          </w:p>
        </w:tc>
        <w:tc>
          <w:tcPr>
            <w:tcW w:w="76" w:type="pct"/>
            <w:tcBorders>
              <w:top w:val="nil"/>
              <w:left w:val="nil"/>
              <w:bottom w:val="nil"/>
              <w:right w:val="nil"/>
            </w:tcBorders>
            <w:shd w:val="clear" w:color="auto" w:fill="auto"/>
            <w:noWrap/>
            <w:vAlign w:val="bottom"/>
          </w:tcPr>
          <w:p w14:paraId="6C2BA7ED" w14:textId="77777777" w:rsidR="001152B6" w:rsidRPr="00297E43" w:rsidRDefault="001152B6" w:rsidP="001152B6">
            <w:pPr>
              <w:spacing w:after="0" w:line="240" w:lineRule="auto"/>
              <w:jc w:val="center"/>
              <w:rPr>
                <w:rFonts w:ascii="Calibri" w:eastAsia="Times New Roman" w:hAnsi="Calibri" w:cs="Times New Roman"/>
                <w:color w:val="auto"/>
                <w:sz w:val="12"/>
                <w:lang w:eastAsia="pt-BR"/>
              </w:rPr>
            </w:pPr>
          </w:p>
        </w:tc>
        <w:tc>
          <w:tcPr>
            <w:tcW w:w="479" w:type="pct"/>
            <w:tcBorders>
              <w:top w:val="nil"/>
              <w:left w:val="single" w:sz="8" w:space="0" w:color="auto"/>
              <w:bottom w:val="single" w:sz="8" w:space="0" w:color="auto"/>
              <w:right w:val="single" w:sz="4" w:space="0" w:color="auto"/>
            </w:tcBorders>
            <w:shd w:val="clear" w:color="000000" w:fill="D9D9D9"/>
            <w:noWrap/>
            <w:vAlign w:val="center"/>
          </w:tcPr>
          <w:p w14:paraId="61D629E7" w14:textId="7F0A2966" w:rsidR="001152B6" w:rsidRPr="00297E43" w:rsidRDefault="001152B6" w:rsidP="001152B6">
            <w:pPr>
              <w:spacing w:after="0" w:line="240" w:lineRule="auto"/>
              <w:jc w:val="center"/>
              <w:rPr>
                <w:rFonts w:ascii="Calibri" w:eastAsia="Times New Roman" w:hAnsi="Calibri" w:cs="Times New Roman"/>
                <w:b/>
                <w:bCs/>
                <w:color w:val="auto"/>
                <w:sz w:val="12"/>
                <w:lang w:eastAsia="pt-BR"/>
              </w:rPr>
            </w:pPr>
          </w:p>
        </w:tc>
        <w:tc>
          <w:tcPr>
            <w:tcW w:w="481" w:type="pct"/>
            <w:tcBorders>
              <w:top w:val="nil"/>
              <w:left w:val="nil"/>
              <w:bottom w:val="single" w:sz="8" w:space="0" w:color="auto"/>
              <w:right w:val="single" w:sz="8" w:space="0" w:color="auto"/>
            </w:tcBorders>
            <w:shd w:val="clear" w:color="000000" w:fill="D9D9D9"/>
            <w:noWrap/>
            <w:vAlign w:val="center"/>
          </w:tcPr>
          <w:p w14:paraId="70127807" w14:textId="0AC69336" w:rsidR="001152B6" w:rsidRPr="00297E43" w:rsidRDefault="001152B6" w:rsidP="001152B6">
            <w:pPr>
              <w:spacing w:after="0" w:line="240" w:lineRule="auto"/>
              <w:jc w:val="center"/>
              <w:rPr>
                <w:rFonts w:ascii="Calibri" w:eastAsia="Times New Roman" w:hAnsi="Calibri" w:cs="Times New Roman"/>
                <w:b/>
                <w:bCs/>
                <w:color w:val="auto"/>
                <w:sz w:val="12"/>
                <w:lang w:eastAsia="pt-BR"/>
              </w:rPr>
            </w:pPr>
          </w:p>
        </w:tc>
        <w:tc>
          <w:tcPr>
            <w:tcW w:w="0" w:type="auto"/>
            <w:vAlign w:val="center"/>
          </w:tcPr>
          <w:p w14:paraId="6084DF9D" w14:textId="77777777" w:rsidR="001152B6" w:rsidRPr="00297E43" w:rsidRDefault="001152B6" w:rsidP="001152B6">
            <w:pPr>
              <w:jc w:val="left"/>
              <w:rPr>
                <w:color w:val="auto"/>
              </w:rPr>
            </w:pPr>
          </w:p>
        </w:tc>
      </w:tr>
    </w:tbl>
    <w:p w14:paraId="7E41323D" w14:textId="42238971" w:rsidR="00CE760E" w:rsidRPr="00297E43" w:rsidRDefault="00CE760E" w:rsidP="006B0FB7">
      <w:pPr>
        <w:spacing w:beforeLines="120" w:before="288" w:line="240" w:lineRule="auto"/>
        <w:rPr>
          <w:bCs/>
          <w:color w:val="auto"/>
          <w:szCs w:val="20"/>
        </w:rPr>
      </w:pPr>
    </w:p>
    <w:p w14:paraId="5C310B71" w14:textId="77777777" w:rsidR="00F14991" w:rsidRPr="00297E43" w:rsidRDefault="00F14991" w:rsidP="006B0FB7">
      <w:pPr>
        <w:spacing w:beforeLines="120" w:before="288" w:line="240" w:lineRule="auto"/>
        <w:rPr>
          <w:bCs/>
          <w:color w:val="auto"/>
          <w:szCs w:val="20"/>
        </w:rPr>
      </w:pPr>
    </w:p>
    <w:p w14:paraId="7785D6A1" w14:textId="06FFE925" w:rsidR="00161E86" w:rsidRPr="00297E43" w:rsidRDefault="006B0FB7" w:rsidP="006B0FB7">
      <w:pPr>
        <w:spacing w:beforeLines="120" w:before="288" w:line="240" w:lineRule="auto"/>
        <w:rPr>
          <w:bCs/>
          <w:color w:val="auto"/>
          <w:szCs w:val="20"/>
        </w:rPr>
      </w:pPr>
      <w:r w:rsidRPr="00297E43">
        <w:rPr>
          <w:bCs/>
          <w:color w:val="auto"/>
          <w:szCs w:val="20"/>
        </w:rPr>
        <w:t xml:space="preserve">O </w:t>
      </w:r>
      <w:r w:rsidR="00314466" w:rsidRPr="00297E43">
        <w:rPr>
          <w:b/>
          <w:bCs/>
          <w:color w:val="auto"/>
          <w:szCs w:val="20"/>
        </w:rPr>
        <w:t>INSTITUTO DE PREVIDÊNCIA DOS SERVIDORES PÚBLICOS DO MUNICÍPIO DE BOM JESUS DOS PERDÕES – PREV BOM JESUS</w:t>
      </w:r>
      <w:r w:rsidR="00314466" w:rsidRPr="00297E43">
        <w:rPr>
          <w:bCs/>
          <w:color w:val="auto"/>
          <w:szCs w:val="20"/>
        </w:rPr>
        <w:t xml:space="preserve"> </w:t>
      </w:r>
      <w:r w:rsidRPr="00297E43">
        <w:rPr>
          <w:bCs/>
          <w:color w:val="auto"/>
          <w:szCs w:val="20"/>
        </w:rPr>
        <w:t xml:space="preserve">considera os limites apresentados </w:t>
      </w:r>
      <w:r w:rsidR="00E13A6E" w:rsidRPr="00297E43">
        <w:rPr>
          <w:bCs/>
          <w:color w:val="auto"/>
          <w:szCs w:val="20"/>
        </w:rPr>
        <w:t>n</w:t>
      </w:r>
      <w:r w:rsidRPr="00297E43">
        <w:rPr>
          <w:bCs/>
          <w:color w:val="auto"/>
          <w:szCs w:val="20"/>
        </w:rPr>
        <w:t xml:space="preserve">o resultado </w:t>
      </w:r>
      <w:r w:rsidR="00E13A6E" w:rsidRPr="00297E43">
        <w:rPr>
          <w:bCs/>
          <w:color w:val="auto"/>
          <w:szCs w:val="20"/>
        </w:rPr>
        <w:t>do estudo t</w:t>
      </w:r>
      <w:r w:rsidR="001D4A84" w:rsidRPr="00297E43">
        <w:rPr>
          <w:bCs/>
          <w:color w:val="auto"/>
          <w:szCs w:val="20"/>
        </w:rPr>
        <w:t>écnico elaborado</w:t>
      </w:r>
      <w:r w:rsidR="00E13A6E" w:rsidRPr="00297E43">
        <w:rPr>
          <w:bCs/>
          <w:color w:val="auto"/>
          <w:szCs w:val="20"/>
        </w:rPr>
        <w:t xml:space="preserve"> </w:t>
      </w:r>
      <w:r w:rsidRPr="00297E43">
        <w:rPr>
          <w:bCs/>
          <w:color w:val="auto"/>
          <w:szCs w:val="20"/>
        </w:rPr>
        <w:t xml:space="preserve">através das reservas técnicas atuariais (ativos) e as reservas matemáticas (passivo) projetadas pelo cálculo atuarial o que pode exigir maior flexibilidade nos </w:t>
      </w:r>
      <w:r w:rsidR="001D4A84" w:rsidRPr="00297E43">
        <w:rPr>
          <w:bCs/>
          <w:color w:val="auto"/>
          <w:szCs w:val="20"/>
        </w:rPr>
        <w:t xml:space="preserve">níveis de liquidez da carteira. </w:t>
      </w:r>
      <w:r w:rsidR="00E13A6E" w:rsidRPr="00297E43">
        <w:rPr>
          <w:bCs/>
          <w:color w:val="auto"/>
          <w:szCs w:val="20"/>
        </w:rPr>
        <w:t xml:space="preserve">Foram </w:t>
      </w:r>
      <w:r w:rsidR="009B145D" w:rsidRPr="00297E43">
        <w:rPr>
          <w:bCs/>
          <w:color w:val="auto"/>
          <w:szCs w:val="20"/>
        </w:rPr>
        <w:t>observados</w:t>
      </w:r>
      <w:r w:rsidR="006C2E56" w:rsidRPr="00297E43">
        <w:rPr>
          <w:bCs/>
          <w:color w:val="auto"/>
          <w:szCs w:val="20"/>
        </w:rPr>
        <w:t>,</w:t>
      </w:r>
      <w:r w:rsidR="009B145D" w:rsidRPr="00297E43">
        <w:rPr>
          <w:bCs/>
          <w:color w:val="auto"/>
          <w:szCs w:val="20"/>
        </w:rPr>
        <w:t xml:space="preserve"> também, a compatibilidade dos ativos investidos com os prazo e taxas das obrigaçõe</w:t>
      </w:r>
      <w:r w:rsidR="00DE66AE" w:rsidRPr="00297E43">
        <w:rPr>
          <w:bCs/>
          <w:color w:val="auto"/>
          <w:szCs w:val="20"/>
        </w:rPr>
        <w:t>s presentes e futuras do regime</w:t>
      </w:r>
      <w:r w:rsidR="00161E86" w:rsidRPr="00297E43">
        <w:rPr>
          <w:bCs/>
          <w:color w:val="auto"/>
          <w:szCs w:val="20"/>
        </w:rPr>
        <w:t>.</w:t>
      </w:r>
    </w:p>
    <w:p w14:paraId="6541E19A" w14:textId="45F409FB" w:rsidR="006B0FB7" w:rsidRPr="00297E43" w:rsidRDefault="006B0FB7" w:rsidP="00314466">
      <w:pPr>
        <w:pStyle w:val="Ttulo2"/>
        <w:rPr>
          <w:color w:val="auto"/>
        </w:rPr>
      </w:pPr>
      <w:bookmarkStart w:id="62" w:name="_Toc435202742"/>
      <w:bookmarkStart w:id="63" w:name="_Toc490036547"/>
      <w:bookmarkStart w:id="64" w:name="_Toc20130598"/>
      <w:r w:rsidRPr="00297E43">
        <w:rPr>
          <w:color w:val="auto"/>
        </w:rPr>
        <w:lastRenderedPageBreak/>
        <w:t>SEGMENTO DE RENDA FIXA</w:t>
      </w:r>
      <w:bookmarkEnd w:id="62"/>
      <w:bookmarkEnd w:id="63"/>
      <w:bookmarkEnd w:id="64"/>
    </w:p>
    <w:p w14:paraId="2B78AC5C" w14:textId="4FC8F468" w:rsidR="006B0FB7" w:rsidRPr="00297E43" w:rsidRDefault="006B0FB7" w:rsidP="006B0FB7">
      <w:pPr>
        <w:spacing w:beforeLines="120" w:before="288" w:line="240" w:lineRule="auto"/>
        <w:rPr>
          <w:b/>
          <w:bCs/>
          <w:color w:val="auto"/>
          <w:szCs w:val="20"/>
        </w:rPr>
      </w:pPr>
      <w:r w:rsidRPr="00297E43">
        <w:rPr>
          <w:bCs/>
          <w:color w:val="auto"/>
          <w:szCs w:val="20"/>
        </w:rPr>
        <w:t xml:space="preserve">Obedecendo os limites permitidos pela Resolução CMN n° 3922/2010, propõe-se adotar o </w:t>
      </w:r>
      <w:r w:rsidR="00F3222B" w:rsidRPr="00297E43">
        <w:rPr>
          <w:b/>
          <w:bCs/>
          <w:color w:val="auto"/>
          <w:szCs w:val="20"/>
        </w:rPr>
        <w:t xml:space="preserve">limite de máximo de </w:t>
      </w:r>
      <w:r w:rsidR="008447A2" w:rsidRPr="00297E43">
        <w:rPr>
          <w:b/>
          <w:bCs/>
          <w:color w:val="auto"/>
          <w:szCs w:val="20"/>
        </w:rPr>
        <w:t>80</w:t>
      </w:r>
      <w:r w:rsidR="00F5345C" w:rsidRPr="00297E43">
        <w:rPr>
          <w:b/>
          <w:bCs/>
          <w:color w:val="auto"/>
          <w:szCs w:val="20"/>
        </w:rPr>
        <w:t>% (</w:t>
      </w:r>
      <w:r w:rsidR="008447A2" w:rsidRPr="00297E43">
        <w:rPr>
          <w:b/>
          <w:bCs/>
          <w:color w:val="auto"/>
          <w:szCs w:val="20"/>
        </w:rPr>
        <w:t>Oitenta</w:t>
      </w:r>
      <w:r w:rsidR="00314466" w:rsidRPr="00297E43">
        <w:rPr>
          <w:b/>
          <w:bCs/>
          <w:color w:val="auto"/>
          <w:szCs w:val="20"/>
        </w:rPr>
        <w:t xml:space="preserve"> por cento</w:t>
      </w:r>
      <w:r w:rsidR="00F5345C" w:rsidRPr="00297E43">
        <w:rPr>
          <w:b/>
          <w:bCs/>
          <w:color w:val="auto"/>
          <w:szCs w:val="20"/>
        </w:rPr>
        <w:t>)</w:t>
      </w:r>
      <w:r w:rsidRPr="00297E43">
        <w:rPr>
          <w:b/>
          <w:bCs/>
          <w:color w:val="auto"/>
          <w:szCs w:val="20"/>
        </w:rPr>
        <w:t xml:space="preserve"> dos investimentos financeiros do RPPS, no segmento de renda fixa.</w:t>
      </w:r>
    </w:p>
    <w:p w14:paraId="4BB46AA1" w14:textId="59E18513" w:rsidR="00AC765B" w:rsidRPr="00297E43" w:rsidRDefault="006B0FB7" w:rsidP="006B0FB7">
      <w:pPr>
        <w:spacing w:beforeLines="120" w:before="288" w:line="240" w:lineRule="auto"/>
        <w:rPr>
          <w:bCs/>
          <w:color w:val="auto"/>
          <w:szCs w:val="20"/>
        </w:rPr>
      </w:pPr>
      <w:r w:rsidRPr="00297E43">
        <w:rPr>
          <w:bCs/>
          <w:color w:val="auto"/>
          <w:szCs w:val="20"/>
        </w:rPr>
        <w:t xml:space="preserve">A negociação de títulos e valores mobiliários no mercado secundário (compra/venda de títulos públicos) obedecerá ao disposto, Art. 7º, inciso </w:t>
      </w:r>
      <w:r w:rsidR="00483F20" w:rsidRPr="00297E43">
        <w:rPr>
          <w:bCs/>
          <w:color w:val="auto"/>
          <w:szCs w:val="20"/>
        </w:rPr>
        <w:t>I, alínea</w:t>
      </w:r>
      <w:r w:rsidRPr="00297E43">
        <w:rPr>
          <w:bCs/>
          <w:color w:val="auto"/>
          <w:szCs w:val="20"/>
        </w:rPr>
        <w:t xml:space="preserve"> “a” da Resolução CMN n° 3.922/2010, e deverão ser comercializados através de plataforma eletrônica e registrados no Sistema Especial de Liquidação e de Custódia (SELIC), não sendo permitidas compras de títulos com pagamento de </w:t>
      </w:r>
      <w:r w:rsidR="00E13A6E" w:rsidRPr="00297E43">
        <w:rPr>
          <w:bCs/>
          <w:color w:val="auto"/>
          <w:szCs w:val="20"/>
        </w:rPr>
        <w:t>c</w:t>
      </w:r>
      <w:r w:rsidRPr="00297E43">
        <w:rPr>
          <w:bCs/>
          <w:color w:val="auto"/>
          <w:szCs w:val="20"/>
        </w:rPr>
        <w:t>upom com taxa inferior à</w:t>
      </w:r>
      <w:r w:rsidR="001D4A84" w:rsidRPr="00297E43">
        <w:rPr>
          <w:bCs/>
          <w:color w:val="auto"/>
          <w:szCs w:val="20"/>
        </w:rPr>
        <w:t xml:space="preserve"> meta atuarial</w:t>
      </w:r>
      <w:r w:rsidRPr="00297E43">
        <w:rPr>
          <w:bCs/>
          <w:color w:val="auto"/>
          <w:szCs w:val="20"/>
        </w:rPr>
        <w:t>.</w:t>
      </w:r>
    </w:p>
    <w:p w14:paraId="2270C36E" w14:textId="665DA987" w:rsidR="00550129" w:rsidRPr="00297E43" w:rsidRDefault="00550129" w:rsidP="00550129">
      <w:pPr>
        <w:spacing w:beforeLines="120" w:before="288" w:line="240" w:lineRule="auto"/>
        <w:rPr>
          <w:bCs/>
          <w:color w:val="auto"/>
          <w:szCs w:val="20"/>
        </w:rPr>
      </w:pPr>
      <w:r w:rsidRPr="00297E43">
        <w:rPr>
          <w:bCs/>
          <w:color w:val="auto"/>
          <w:szCs w:val="20"/>
        </w:rPr>
        <w:t xml:space="preserve">Poderão ser </w:t>
      </w:r>
      <w:r w:rsidR="00125CB5" w:rsidRPr="00297E43">
        <w:rPr>
          <w:bCs/>
          <w:color w:val="auto"/>
          <w:szCs w:val="20"/>
        </w:rPr>
        <w:t xml:space="preserve">adquiridos Títulos Públicos Federais </w:t>
      </w:r>
      <w:r w:rsidRPr="00297E43">
        <w:rPr>
          <w:bCs/>
          <w:color w:val="auto"/>
          <w:szCs w:val="20"/>
        </w:rPr>
        <w:t>contabilizados pelos respectivos custos de aquisição acrescidos dos rendimentos auferidos os Títulos Públicos Federais, desde que se cumpra cumulativamente as devidas exigências da Portaria MF n° 577, de 27 de dezembro de 2017 sendo elas:</w:t>
      </w:r>
    </w:p>
    <w:p w14:paraId="3AADF55D" w14:textId="7F4DD8AB" w:rsidR="00550129" w:rsidRPr="00297E43" w:rsidRDefault="00550129" w:rsidP="00BF5125">
      <w:pPr>
        <w:pStyle w:val="PargrafodaLista"/>
        <w:numPr>
          <w:ilvl w:val="0"/>
          <w:numId w:val="35"/>
        </w:numPr>
        <w:spacing w:beforeLines="120" w:before="288" w:line="240" w:lineRule="auto"/>
        <w:rPr>
          <w:bCs/>
          <w:color w:val="auto"/>
          <w:szCs w:val="20"/>
        </w:rPr>
      </w:pPr>
      <w:r w:rsidRPr="00297E43">
        <w:rPr>
          <w:bCs/>
          <w:color w:val="auto"/>
          <w:szCs w:val="20"/>
        </w:rPr>
        <w:t>seja observada a sua compatibilidade com os prazos e taxas das obrigações presentes e futuras do RPPS;</w:t>
      </w:r>
    </w:p>
    <w:p w14:paraId="467D7732" w14:textId="77777777" w:rsidR="00550129" w:rsidRPr="00297E43" w:rsidRDefault="00550129" w:rsidP="00BF5125">
      <w:pPr>
        <w:pStyle w:val="PargrafodaLista"/>
        <w:spacing w:beforeLines="120" w:before="288" w:line="240" w:lineRule="auto"/>
        <w:ind w:left="764"/>
        <w:rPr>
          <w:bCs/>
          <w:color w:val="auto"/>
          <w:szCs w:val="20"/>
        </w:rPr>
      </w:pPr>
    </w:p>
    <w:p w14:paraId="43CDCEBA" w14:textId="4A86024F" w:rsidR="00550129" w:rsidRPr="00297E43" w:rsidRDefault="00550129" w:rsidP="00BF5125">
      <w:pPr>
        <w:pStyle w:val="PargrafodaLista"/>
        <w:numPr>
          <w:ilvl w:val="0"/>
          <w:numId w:val="35"/>
        </w:numPr>
        <w:spacing w:beforeLines="120" w:before="288" w:line="240" w:lineRule="auto"/>
        <w:rPr>
          <w:bCs/>
          <w:color w:val="auto"/>
          <w:szCs w:val="20"/>
        </w:rPr>
      </w:pPr>
      <w:r w:rsidRPr="00297E43">
        <w:rPr>
          <w:bCs/>
          <w:color w:val="auto"/>
          <w:szCs w:val="20"/>
        </w:rPr>
        <w:t>sejam classificados separadamente dos ativos para negociação, ou seja, daqueles adquiridos com o propósito de serem negociados, independentemente do prazo a decorrer da data da aquisição;</w:t>
      </w:r>
    </w:p>
    <w:p w14:paraId="56529E51" w14:textId="77777777" w:rsidR="00550129" w:rsidRPr="00297E43" w:rsidRDefault="00550129" w:rsidP="00BF5125">
      <w:pPr>
        <w:pStyle w:val="PargrafodaLista"/>
        <w:spacing w:beforeLines="120" w:before="288" w:line="240" w:lineRule="auto"/>
        <w:ind w:left="764"/>
        <w:rPr>
          <w:bCs/>
          <w:color w:val="auto"/>
          <w:szCs w:val="20"/>
        </w:rPr>
      </w:pPr>
    </w:p>
    <w:p w14:paraId="12037588" w14:textId="12135EC7" w:rsidR="00550129" w:rsidRPr="00297E43" w:rsidRDefault="00550129" w:rsidP="00BF5125">
      <w:pPr>
        <w:pStyle w:val="PargrafodaLista"/>
        <w:numPr>
          <w:ilvl w:val="0"/>
          <w:numId w:val="35"/>
        </w:numPr>
        <w:spacing w:beforeLines="120" w:before="288" w:line="240" w:lineRule="auto"/>
        <w:rPr>
          <w:bCs/>
          <w:color w:val="auto"/>
          <w:szCs w:val="20"/>
        </w:rPr>
      </w:pPr>
      <w:r w:rsidRPr="00297E43">
        <w:rPr>
          <w:bCs/>
          <w:color w:val="auto"/>
          <w:szCs w:val="20"/>
        </w:rPr>
        <w:t>seja comprovada a intenção e capacidade financeira do RPPS de mantê-los em carteira até o vencimento; e</w:t>
      </w:r>
    </w:p>
    <w:p w14:paraId="3DDA4BB7" w14:textId="0C27B61D" w:rsidR="00550129" w:rsidRPr="00297E43" w:rsidRDefault="00550129" w:rsidP="00BF5125">
      <w:pPr>
        <w:pStyle w:val="PargrafodaLista"/>
        <w:spacing w:beforeLines="120" w:before="288" w:line="240" w:lineRule="auto"/>
        <w:ind w:left="764"/>
        <w:rPr>
          <w:bCs/>
          <w:color w:val="auto"/>
          <w:szCs w:val="20"/>
        </w:rPr>
      </w:pPr>
    </w:p>
    <w:p w14:paraId="5E02CF60" w14:textId="6A822464" w:rsidR="00550129" w:rsidRPr="00297E43" w:rsidRDefault="00550129" w:rsidP="00BF5125">
      <w:pPr>
        <w:pStyle w:val="PargrafodaLista"/>
        <w:numPr>
          <w:ilvl w:val="0"/>
          <w:numId w:val="35"/>
        </w:numPr>
        <w:spacing w:beforeLines="120" w:before="288" w:line="240" w:lineRule="auto"/>
        <w:rPr>
          <w:bCs/>
          <w:color w:val="auto"/>
          <w:szCs w:val="20"/>
        </w:rPr>
      </w:pPr>
      <w:r w:rsidRPr="00297E43">
        <w:rPr>
          <w:bCs/>
          <w:color w:val="auto"/>
          <w:szCs w:val="20"/>
        </w:rPr>
        <w:t>sejam atendidas as normas de atuária e de contabilidade aplicáveis aos RPPS, inclusive no que se refere à obrigatoriedade de divulgação das informações relativas aos títulos adquiridos, ao impacto nos resultados e aos requisitos e procedimentos, na hipótese de alteração da forma de precificação dos títulos de emissão do Tesouro Nacional.</w:t>
      </w:r>
    </w:p>
    <w:p w14:paraId="7CB433EB" w14:textId="77777777" w:rsidR="00550129" w:rsidRPr="00297E43" w:rsidRDefault="00550129" w:rsidP="006B0FB7">
      <w:pPr>
        <w:spacing w:beforeLines="120" w:before="288" w:line="240" w:lineRule="auto"/>
        <w:rPr>
          <w:bCs/>
          <w:color w:val="auto"/>
          <w:szCs w:val="20"/>
        </w:rPr>
      </w:pPr>
    </w:p>
    <w:p w14:paraId="7266B964" w14:textId="77777777" w:rsidR="006B0FB7" w:rsidRPr="00297E43" w:rsidRDefault="006B0FB7" w:rsidP="00314466">
      <w:pPr>
        <w:pStyle w:val="Ttulo2"/>
        <w:rPr>
          <w:color w:val="auto"/>
        </w:rPr>
      </w:pPr>
      <w:bookmarkStart w:id="65" w:name="_Toc435202743"/>
      <w:bookmarkStart w:id="66" w:name="_Toc490036548"/>
      <w:bookmarkStart w:id="67" w:name="_Toc20130599"/>
      <w:r w:rsidRPr="00297E43">
        <w:rPr>
          <w:color w:val="auto"/>
        </w:rPr>
        <w:t>SEGMENTO DE RENDA VARIÁVEL</w:t>
      </w:r>
      <w:bookmarkEnd w:id="65"/>
      <w:bookmarkEnd w:id="66"/>
      <w:r w:rsidR="003C3F82" w:rsidRPr="00297E43">
        <w:rPr>
          <w:color w:val="auto"/>
        </w:rPr>
        <w:t xml:space="preserve"> E INVESTIMENTOS ESTRUTURADOS</w:t>
      </w:r>
      <w:bookmarkEnd w:id="67"/>
    </w:p>
    <w:p w14:paraId="69E32DC8" w14:textId="389D6E4F" w:rsidR="006B0FB7" w:rsidRPr="00297E43" w:rsidRDefault="006B0FB7" w:rsidP="006B0FB7">
      <w:pPr>
        <w:spacing w:beforeLines="120" w:before="288" w:line="240" w:lineRule="auto"/>
        <w:rPr>
          <w:b/>
          <w:bCs/>
          <w:color w:val="auto"/>
          <w:szCs w:val="20"/>
        </w:rPr>
      </w:pPr>
      <w:r w:rsidRPr="00297E43">
        <w:rPr>
          <w:bCs/>
          <w:color w:val="auto"/>
          <w:szCs w:val="20"/>
        </w:rPr>
        <w:t xml:space="preserve">Em relação ao segmento de renda variável, cuja limitação legal estabelece que os recursos alocados nos investimentos, cumulativamente, não deverão exceder a 30% (trinta por cento) da totalidade dos recursos em moeda corrente do RPPS, </w:t>
      </w:r>
      <w:r w:rsidRPr="00297E43">
        <w:rPr>
          <w:b/>
          <w:bCs/>
          <w:color w:val="auto"/>
          <w:szCs w:val="20"/>
        </w:rPr>
        <w:t>limitar-se-ão a</w:t>
      </w:r>
      <w:r w:rsidRPr="00297E43">
        <w:rPr>
          <w:bCs/>
          <w:color w:val="auto"/>
          <w:szCs w:val="20"/>
        </w:rPr>
        <w:t xml:space="preserve"> </w:t>
      </w:r>
      <w:r w:rsidR="008447A2" w:rsidRPr="00297E43">
        <w:rPr>
          <w:b/>
          <w:bCs/>
          <w:color w:val="auto"/>
          <w:szCs w:val="20"/>
        </w:rPr>
        <w:t>20% (Vinte</w:t>
      </w:r>
      <w:r w:rsidR="00314466" w:rsidRPr="00297E43">
        <w:rPr>
          <w:b/>
          <w:bCs/>
          <w:color w:val="auto"/>
          <w:szCs w:val="20"/>
        </w:rPr>
        <w:t xml:space="preserve"> por cento</w:t>
      </w:r>
      <w:r w:rsidR="00F5345C" w:rsidRPr="00297E43">
        <w:rPr>
          <w:b/>
          <w:bCs/>
          <w:color w:val="auto"/>
          <w:szCs w:val="20"/>
        </w:rPr>
        <w:t>)</w:t>
      </w:r>
      <w:r w:rsidRPr="00297E43">
        <w:rPr>
          <w:b/>
          <w:bCs/>
          <w:color w:val="auto"/>
          <w:szCs w:val="20"/>
        </w:rPr>
        <w:t xml:space="preserve"> da totalidade dos investimentos financeiros do RPPS.</w:t>
      </w:r>
    </w:p>
    <w:p w14:paraId="4B60469E" w14:textId="7389D355" w:rsidR="007A1C3A" w:rsidRPr="00297E43" w:rsidRDefault="007A1C3A" w:rsidP="006B0FB7">
      <w:pPr>
        <w:spacing w:beforeLines="120" w:before="288" w:line="240" w:lineRule="auto"/>
        <w:rPr>
          <w:bCs/>
          <w:color w:val="auto"/>
          <w:szCs w:val="20"/>
        </w:rPr>
      </w:pPr>
      <w:r w:rsidRPr="00297E43">
        <w:rPr>
          <w:bCs/>
          <w:color w:val="auto"/>
          <w:szCs w:val="20"/>
        </w:rPr>
        <w:t>São considerados como investimentos estruturados segundo Resolução CMN n° 3922/2010, os fundos de investimento classificados como multimercado</w:t>
      </w:r>
      <w:r w:rsidR="003419EE" w:rsidRPr="00297E43">
        <w:rPr>
          <w:bCs/>
          <w:color w:val="auto"/>
          <w:szCs w:val="20"/>
        </w:rPr>
        <w:t xml:space="preserve">, </w:t>
      </w:r>
      <w:r w:rsidRPr="00297E43">
        <w:rPr>
          <w:bCs/>
          <w:color w:val="auto"/>
          <w:szCs w:val="20"/>
        </w:rPr>
        <w:t>os fundos de investimento em participações</w:t>
      </w:r>
      <w:r w:rsidR="003419EE" w:rsidRPr="00297E43">
        <w:rPr>
          <w:bCs/>
          <w:color w:val="auto"/>
          <w:szCs w:val="20"/>
        </w:rPr>
        <w:t xml:space="preserve"> </w:t>
      </w:r>
      <w:r w:rsidRPr="00297E43">
        <w:rPr>
          <w:bCs/>
          <w:color w:val="auto"/>
          <w:szCs w:val="20"/>
        </w:rPr>
        <w:t>- FIPs</w:t>
      </w:r>
      <w:r w:rsidR="003419EE" w:rsidRPr="00297E43">
        <w:rPr>
          <w:bCs/>
          <w:color w:val="auto"/>
          <w:szCs w:val="20"/>
        </w:rPr>
        <w:t xml:space="preserve"> e os fundos de investimento classificados como “Ações – Mercado de Acesso”</w:t>
      </w:r>
      <w:r w:rsidRPr="00297E43">
        <w:rPr>
          <w:bCs/>
          <w:color w:val="auto"/>
          <w:szCs w:val="20"/>
        </w:rPr>
        <w:t>.</w:t>
      </w:r>
    </w:p>
    <w:p w14:paraId="028C8358" w14:textId="65D50786" w:rsidR="00AF0A42" w:rsidRPr="00297E43" w:rsidRDefault="00AF0A42" w:rsidP="00314466">
      <w:pPr>
        <w:pStyle w:val="Ttulo2"/>
        <w:rPr>
          <w:color w:val="auto"/>
        </w:rPr>
      </w:pPr>
      <w:bookmarkStart w:id="68" w:name="_Toc20130600"/>
      <w:r w:rsidRPr="00297E43">
        <w:rPr>
          <w:color w:val="auto"/>
        </w:rPr>
        <w:t>SEGMENTO DE INVESTIMENTOS NO EXTERIOR</w:t>
      </w:r>
      <w:bookmarkEnd w:id="68"/>
    </w:p>
    <w:p w14:paraId="6FD8A8EA" w14:textId="3FE74EF5" w:rsidR="00AF0A42" w:rsidRPr="00297E43" w:rsidRDefault="00AF0A42" w:rsidP="005B5E5B">
      <w:pPr>
        <w:rPr>
          <w:color w:val="auto"/>
        </w:rPr>
      </w:pPr>
      <w:r w:rsidRPr="00297E43">
        <w:rPr>
          <w:color w:val="auto"/>
        </w:rPr>
        <w:t xml:space="preserve">No segmento classificado como “investimento no exterior”, cuja limitação legal estabelece que os recursos alocados nos investimentos, cumulativamente, não deverão exceder a 10% (dez por cento) da totalidade dos recursos em moeda corrente do RPPS, será adotado o </w:t>
      </w:r>
      <w:r w:rsidR="00227CDB" w:rsidRPr="00297E43">
        <w:rPr>
          <w:color w:val="auto"/>
        </w:rPr>
        <w:t xml:space="preserve">mesmo </w:t>
      </w:r>
      <w:r w:rsidRPr="00297E43">
        <w:rPr>
          <w:b/>
          <w:color w:val="auto"/>
        </w:rPr>
        <w:t>limite de 10% (dez por cento) da totalidade dos investimentos financeiros do RPPS.</w:t>
      </w:r>
    </w:p>
    <w:p w14:paraId="4C0E65F8" w14:textId="77777777" w:rsidR="00F5345C" w:rsidRPr="00297E43" w:rsidRDefault="00AF0A42" w:rsidP="00F5345C">
      <w:pPr>
        <w:rPr>
          <w:color w:val="auto"/>
        </w:rPr>
      </w:pPr>
      <w:r w:rsidRPr="00297E43">
        <w:rPr>
          <w:color w:val="auto"/>
        </w:rPr>
        <w:t>Deverão ser considerados que os fundos de investimentos constituídos no exterior possuam histórico de 12 (doze) meses e que seus gestores estejam em atividade há mais de 5 (cinco) anos e administrem o montante de recursos de terceiros equivalente a US$ 5 bilhões de dólares na data do aporte.</w:t>
      </w:r>
    </w:p>
    <w:p w14:paraId="75FD5452" w14:textId="5F6AC93D" w:rsidR="00161E86" w:rsidRPr="00297E43" w:rsidRDefault="00161E86" w:rsidP="00314466">
      <w:pPr>
        <w:pStyle w:val="Ttulo2"/>
        <w:rPr>
          <w:color w:val="auto"/>
        </w:rPr>
      </w:pPr>
      <w:bookmarkStart w:id="69" w:name="_Toc20130601"/>
      <w:r w:rsidRPr="00297E43">
        <w:rPr>
          <w:color w:val="auto"/>
        </w:rPr>
        <w:t>LIMITES GERAIS</w:t>
      </w:r>
      <w:bookmarkEnd w:id="69"/>
    </w:p>
    <w:p w14:paraId="328729EF" w14:textId="597E76AC" w:rsidR="00727BD2" w:rsidRPr="00297E43" w:rsidRDefault="00161E86" w:rsidP="005B5E5B">
      <w:pPr>
        <w:rPr>
          <w:bCs/>
          <w:color w:val="auto"/>
          <w:szCs w:val="20"/>
        </w:rPr>
      </w:pPr>
      <w:r w:rsidRPr="00297E43">
        <w:rPr>
          <w:color w:val="auto"/>
        </w:rPr>
        <w:t xml:space="preserve">No acompanhamento dos limites gerais da carteira de investimentos do </w:t>
      </w:r>
      <w:r w:rsidR="00314466" w:rsidRPr="00297E43">
        <w:rPr>
          <w:b/>
          <w:bCs/>
          <w:color w:val="auto"/>
          <w:szCs w:val="20"/>
        </w:rPr>
        <w:t>INSTITUTO DE PREVIDÊNCIA DOS SERVIDORES PÚBLICOS DO MUNICÍPIO DE BOM JESUS DOS PERDÕES – PREV BOM JESUS</w:t>
      </w:r>
      <w:r w:rsidRPr="00297E43">
        <w:rPr>
          <w:bCs/>
          <w:color w:val="auto"/>
          <w:szCs w:val="20"/>
        </w:rPr>
        <w:t>, em atendimento aos limites aqui estabelecidos e da Resolução CMN n° 3.922/2010, serão consolidadas as posições das aplicações dos</w:t>
      </w:r>
      <w:r w:rsidR="00727BD2" w:rsidRPr="00297E43">
        <w:rPr>
          <w:bCs/>
          <w:color w:val="auto"/>
          <w:szCs w:val="20"/>
        </w:rPr>
        <w:t xml:space="preserve"> recursos realizados direta</w:t>
      </w:r>
      <w:r w:rsidRPr="00297E43">
        <w:rPr>
          <w:bCs/>
          <w:color w:val="auto"/>
          <w:szCs w:val="20"/>
        </w:rPr>
        <w:t xml:space="preserve"> e indiretamente pelo </w:t>
      </w:r>
      <w:r w:rsidR="00727BD2" w:rsidRPr="00297E43">
        <w:rPr>
          <w:bCs/>
          <w:color w:val="auto"/>
          <w:szCs w:val="20"/>
        </w:rPr>
        <w:t>RPPS por meio de fundos de investimentos e fundos de investimentos em cotas de fundos de investimentos.</w:t>
      </w:r>
    </w:p>
    <w:p w14:paraId="4D917BA2" w14:textId="5C9D3AEA" w:rsidR="00161E86" w:rsidRPr="00297E43" w:rsidRDefault="00727BD2" w:rsidP="005B5E5B">
      <w:pPr>
        <w:rPr>
          <w:bCs/>
          <w:color w:val="auto"/>
          <w:szCs w:val="20"/>
        </w:rPr>
      </w:pPr>
      <w:r w:rsidRPr="00297E43">
        <w:rPr>
          <w:bCs/>
          <w:color w:val="auto"/>
          <w:szCs w:val="20"/>
        </w:rPr>
        <w:t xml:space="preserve">No que tange ao limite geral de exposição por fundos de investimentos e em cotas de fundos de investimentos, </w:t>
      </w:r>
      <w:r w:rsidRPr="00297E43">
        <w:rPr>
          <w:color w:val="auto"/>
        </w:rPr>
        <w:t xml:space="preserve">fica </w:t>
      </w:r>
      <w:r w:rsidR="00227CDB" w:rsidRPr="00297E43">
        <w:rPr>
          <w:color w:val="auto"/>
        </w:rPr>
        <w:t>o</w:t>
      </w:r>
      <w:r w:rsidR="00227CDB" w:rsidRPr="00297E43">
        <w:rPr>
          <w:bCs/>
          <w:color w:val="auto"/>
          <w:szCs w:val="20"/>
        </w:rPr>
        <w:t xml:space="preserve"> </w:t>
      </w:r>
      <w:r w:rsidR="00314466" w:rsidRPr="00297E43">
        <w:rPr>
          <w:b/>
          <w:bCs/>
          <w:color w:val="auto"/>
          <w:szCs w:val="20"/>
        </w:rPr>
        <w:t>INSTITUTO DE PREVIDÊNCIA DOS SERVIDORES PÚBLICOS DO MUNICÍPIO DE BOM JESUS DOS PERDÕES – PREV BOM JESUS</w:t>
      </w:r>
      <w:r w:rsidR="00314466" w:rsidRPr="00297E43">
        <w:rPr>
          <w:bCs/>
          <w:color w:val="auto"/>
          <w:szCs w:val="20"/>
        </w:rPr>
        <w:t xml:space="preserve"> </w:t>
      </w:r>
      <w:r w:rsidRPr="00297E43">
        <w:rPr>
          <w:bCs/>
          <w:color w:val="auto"/>
          <w:szCs w:val="20"/>
        </w:rPr>
        <w:t>limitado a 20% de exposição.</w:t>
      </w:r>
    </w:p>
    <w:p w14:paraId="2FA3AEC2" w14:textId="00EFB980" w:rsidR="00727BD2" w:rsidRPr="00297E43" w:rsidRDefault="00727BD2" w:rsidP="009C66AE">
      <w:pPr>
        <w:rPr>
          <w:color w:val="auto"/>
        </w:rPr>
      </w:pPr>
      <w:r w:rsidRPr="00297E43">
        <w:rPr>
          <w:color w:val="auto"/>
        </w:rPr>
        <w:t xml:space="preserve">A exposição do total das aplicações dos recursos do </w:t>
      </w:r>
      <w:r w:rsidR="00314466" w:rsidRPr="00297E43">
        <w:rPr>
          <w:b/>
          <w:bCs/>
          <w:color w:val="auto"/>
          <w:szCs w:val="20"/>
        </w:rPr>
        <w:t>INSTITUTO DE PREVIDÊNCIA DOS SERVIDORES PÚBLICOS DO MUNICÍPIO DE BOM JESUS DOS PERDÕES – PREV BOM JESUS</w:t>
      </w:r>
      <w:r w:rsidR="00B6040D" w:rsidRPr="00297E43">
        <w:rPr>
          <w:color w:val="auto"/>
        </w:rPr>
        <w:t xml:space="preserve"> </w:t>
      </w:r>
      <w:r w:rsidRPr="00297E43">
        <w:rPr>
          <w:color w:val="auto"/>
        </w:rPr>
        <w:t xml:space="preserve">em um mesmo fundo de investimento limita-se a 15%. Para os fundos de </w:t>
      </w:r>
      <w:r w:rsidRPr="00297E43">
        <w:rPr>
          <w:color w:val="auto"/>
        </w:rPr>
        <w:lastRenderedPageBreak/>
        <w:t>investimentos classificados como FIDC, Crédito Privado, FI de Infraestrutura, Multimercado, FIP, FII e Fundos de Ações – Mercado de Acesso</w:t>
      </w:r>
      <w:r w:rsidR="00DD63B8" w:rsidRPr="00297E43">
        <w:rPr>
          <w:color w:val="auto"/>
        </w:rPr>
        <w:t>,</w:t>
      </w:r>
      <w:r w:rsidRPr="00297E43">
        <w:rPr>
          <w:color w:val="auto"/>
        </w:rPr>
        <w:t xml:space="preserve"> estão limitados à 5%.</w:t>
      </w:r>
    </w:p>
    <w:p w14:paraId="478209FE" w14:textId="77777777" w:rsidR="006B0FB7" w:rsidRPr="00297E43" w:rsidRDefault="006B0FB7" w:rsidP="00314466">
      <w:pPr>
        <w:pStyle w:val="Ttulo2"/>
        <w:rPr>
          <w:color w:val="auto"/>
        </w:rPr>
      </w:pPr>
      <w:bookmarkStart w:id="70" w:name="_Toc496794768"/>
      <w:bookmarkStart w:id="71" w:name="_Toc496794769"/>
      <w:bookmarkStart w:id="72" w:name="_Toc496794770"/>
      <w:bookmarkStart w:id="73" w:name="_Toc496794771"/>
      <w:bookmarkStart w:id="74" w:name="_Toc496794772"/>
      <w:bookmarkStart w:id="75" w:name="_Toc490036550"/>
      <w:bookmarkStart w:id="76" w:name="_Toc20130602"/>
      <w:bookmarkEnd w:id="70"/>
      <w:bookmarkEnd w:id="71"/>
      <w:bookmarkEnd w:id="72"/>
      <w:bookmarkEnd w:id="73"/>
      <w:bookmarkEnd w:id="74"/>
      <w:r w:rsidRPr="00297E43">
        <w:rPr>
          <w:color w:val="auto"/>
        </w:rPr>
        <w:t>ENQUADRAMENTO</w:t>
      </w:r>
      <w:bookmarkEnd w:id="75"/>
      <w:bookmarkEnd w:id="76"/>
    </w:p>
    <w:p w14:paraId="62C63302" w14:textId="3E56BE9A" w:rsidR="006B0FB7" w:rsidRPr="00297E43" w:rsidRDefault="006B0FB7" w:rsidP="003078FB">
      <w:pPr>
        <w:rPr>
          <w:color w:val="auto"/>
        </w:rPr>
      </w:pPr>
      <w:r w:rsidRPr="00297E43">
        <w:rPr>
          <w:color w:val="auto"/>
        </w:rPr>
        <w:t xml:space="preserve">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Pr="00297E43">
        <w:rPr>
          <w:color w:val="auto"/>
        </w:rPr>
        <w:t xml:space="preserve">considera </w:t>
      </w:r>
      <w:r w:rsidR="00483F20" w:rsidRPr="00297E43">
        <w:rPr>
          <w:color w:val="auto"/>
        </w:rPr>
        <w:t>todos</w:t>
      </w:r>
      <w:r w:rsidRPr="00297E43">
        <w:rPr>
          <w:color w:val="auto"/>
        </w:rPr>
        <w:t xml:space="preserve"> os limites estipulados de enquadramento na Resolução CMN n° 3.922/2010, e como entendimento complementar a</w:t>
      </w:r>
      <w:r w:rsidR="00483F20" w:rsidRPr="00297E43">
        <w:rPr>
          <w:color w:val="auto"/>
        </w:rPr>
        <w:t xml:space="preserve"> Seção III, Subseção</w:t>
      </w:r>
      <w:r w:rsidR="00253CFA" w:rsidRPr="00297E43">
        <w:rPr>
          <w:color w:val="auto"/>
        </w:rPr>
        <w:t xml:space="preserve"> V dos Enquadramentos</w:t>
      </w:r>
      <w:r w:rsidRPr="00297E43">
        <w:rPr>
          <w:color w:val="auto"/>
        </w:rPr>
        <w:t>, destacamos:</w:t>
      </w:r>
    </w:p>
    <w:p w14:paraId="096152FB" w14:textId="59E2B93A" w:rsidR="00227CDB" w:rsidRPr="00297E43" w:rsidRDefault="00227CDB" w:rsidP="005B5E5B">
      <w:pPr>
        <w:rPr>
          <w:color w:val="auto"/>
        </w:rPr>
      </w:pPr>
      <w:r w:rsidRPr="00297E43">
        <w:rPr>
          <w:color w:val="auto"/>
        </w:rPr>
        <w:t xml:space="preserve">Os investimentos que, em decorrência de alterações de novas exigências estipuladas pela Resolução CMN n° 3.922/2010, passarem a estar em desacordo com o estabelecido, </w:t>
      </w:r>
      <w:r w:rsidR="00314466" w:rsidRPr="00297E43">
        <w:rPr>
          <w:color w:val="auto"/>
        </w:rPr>
        <w:t xml:space="preserve">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poderá</w:t>
      </w:r>
      <w:r w:rsidRPr="00297E43">
        <w:rPr>
          <w:color w:val="auto"/>
        </w:rPr>
        <w:t xml:space="preserve"> mantê-las em carteira por até 180 dias.</w:t>
      </w:r>
    </w:p>
    <w:p w14:paraId="522875F5" w14:textId="77777777" w:rsidR="00AA2D25" w:rsidRPr="00297E43" w:rsidRDefault="00AA2D25" w:rsidP="006B0FB7">
      <w:pPr>
        <w:spacing w:beforeLines="120" w:before="288" w:after="0" w:line="240" w:lineRule="auto"/>
        <w:rPr>
          <w:bCs/>
          <w:color w:val="auto"/>
          <w:szCs w:val="20"/>
        </w:rPr>
      </w:pPr>
      <w:r w:rsidRPr="00297E43">
        <w:rPr>
          <w:bCs/>
          <w:color w:val="auto"/>
          <w:szCs w:val="20"/>
        </w:rPr>
        <w:t xml:space="preserve">Poderão </w:t>
      </w:r>
      <w:r w:rsidR="0034701E" w:rsidRPr="00297E43">
        <w:rPr>
          <w:bCs/>
          <w:color w:val="auto"/>
          <w:szCs w:val="20"/>
        </w:rPr>
        <w:t xml:space="preserve">ainda </w:t>
      </w:r>
      <w:r w:rsidRPr="00297E43">
        <w:rPr>
          <w:bCs/>
          <w:color w:val="auto"/>
          <w:szCs w:val="20"/>
        </w:rPr>
        <w:t>ser mantidas em carteira até a respectiva data</w:t>
      </w:r>
      <w:r w:rsidR="0034701E" w:rsidRPr="00297E43">
        <w:rPr>
          <w:bCs/>
          <w:color w:val="auto"/>
          <w:szCs w:val="20"/>
        </w:rPr>
        <w:t xml:space="preserve"> de vencimento</w:t>
      </w:r>
      <w:r w:rsidRPr="00297E43">
        <w:rPr>
          <w:bCs/>
          <w:color w:val="auto"/>
          <w:szCs w:val="20"/>
        </w:rPr>
        <w:t xml:space="preserve">, as aplicações que apresentaram prazos </w:t>
      </w:r>
      <w:r w:rsidR="0034701E" w:rsidRPr="00297E43">
        <w:rPr>
          <w:bCs/>
          <w:color w:val="auto"/>
          <w:szCs w:val="20"/>
        </w:rPr>
        <w:t xml:space="preserve">de </w:t>
      </w:r>
      <w:r w:rsidRPr="00297E43">
        <w:rPr>
          <w:bCs/>
          <w:color w:val="auto"/>
          <w:szCs w:val="20"/>
        </w:rPr>
        <w:t>resgate, carência ou para conversão de cotas, sendo considerado infringências aportes adicionais.</w:t>
      </w:r>
    </w:p>
    <w:p w14:paraId="754219B5" w14:textId="77777777" w:rsidR="006B0FB7" w:rsidRPr="00297E43" w:rsidRDefault="006B0FB7" w:rsidP="00695F71">
      <w:pPr>
        <w:spacing w:beforeLines="120" w:before="288" w:line="240" w:lineRule="auto"/>
        <w:rPr>
          <w:bCs/>
          <w:color w:val="auto"/>
          <w:szCs w:val="20"/>
        </w:rPr>
      </w:pPr>
      <w:r w:rsidRPr="00297E43">
        <w:rPr>
          <w:bCs/>
          <w:color w:val="auto"/>
          <w:szCs w:val="20"/>
        </w:rPr>
        <w:t>Serão entendidos como desenquadramento passivo, os limites excedidos decorrentes de valorização e desvalorização dos ativos ou qualquer tipo de desenquadramento que não tenha sido resultado de ação direta do RPPS.</w:t>
      </w:r>
    </w:p>
    <w:p w14:paraId="04C2E291" w14:textId="77A493D0" w:rsidR="007A6621" w:rsidRPr="00297E43" w:rsidRDefault="007A6621" w:rsidP="00695F71">
      <w:pPr>
        <w:spacing w:beforeLines="120" w:before="288" w:line="240" w:lineRule="auto"/>
        <w:rPr>
          <w:bCs/>
          <w:color w:val="auto"/>
          <w:szCs w:val="20"/>
        </w:rPr>
      </w:pPr>
      <w:r w:rsidRPr="00297E43">
        <w:rPr>
          <w:bCs/>
          <w:color w:val="auto"/>
          <w:szCs w:val="20"/>
        </w:rPr>
        <w:t>Só ser</w:t>
      </w:r>
      <w:r w:rsidR="00D03623" w:rsidRPr="00297E43">
        <w:rPr>
          <w:bCs/>
          <w:color w:val="auto"/>
          <w:szCs w:val="20"/>
        </w:rPr>
        <w:t>ão</w:t>
      </w:r>
      <w:r w:rsidRPr="00297E43">
        <w:rPr>
          <w:bCs/>
          <w:color w:val="auto"/>
          <w:szCs w:val="20"/>
        </w:rPr>
        <w:t xml:space="preserve"> </w:t>
      </w:r>
      <w:r w:rsidR="00D03623" w:rsidRPr="00297E43">
        <w:rPr>
          <w:bCs/>
          <w:color w:val="auto"/>
          <w:szCs w:val="20"/>
        </w:rPr>
        <w:t xml:space="preserve">considerados </w:t>
      </w:r>
      <w:r w:rsidR="00E02F02" w:rsidRPr="00297E43">
        <w:rPr>
          <w:bCs/>
          <w:color w:val="auto"/>
          <w:szCs w:val="20"/>
        </w:rPr>
        <w:t>o</w:t>
      </w:r>
      <w:r w:rsidR="00D03623" w:rsidRPr="00297E43">
        <w:rPr>
          <w:bCs/>
          <w:color w:val="auto"/>
          <w:szCs w:val="20"/>
        </w:rPr>
        <w:t>s</w:t>
      </w:r>
      <w:r w:rsidR="00E02F02" w:rsidRPr="00297E43">
        <w:rPr>
          <w:bCs/>
          <w:color w:val="auto"/>
          <w:szCs w:val="20"/>
        </w:rPr>
        <w:t xml:space="preserve"> fundos de investimento que tem por prestador de serviços de gestão e/ou administrador de carteira que </w:t>
      </w:r>
      <w:r w:rsidRPr="00297E43">
        <w:rPr>
          <w:bCs/>
          <w:color w:val="auto"/>
          <w:szCs w:val="20"/>
        </w:rPr>
        <w:t>atendem cumulativamente as condições:</w:t>
      </w:r>
    </w:p>
    <w:p w14:paraId="4E10F9FD" w14:textId="230ABBA6" w:rsidR="007A6621" w:rsidRPr="00297E43" w:rsidRDefault="007A6621" w:rsidP="005B5E5B">
      <w:pPr>
        <w:pStyle w:val="PargrafodaLista"/>
        <w:numPr>
          <w:ilvl w:val="0"/>
          <w:numId w:val="29"/>
        </w:numPr>
        <w:spacing w:beforeLines="120" w:before="288" w:line="240" w:lineRule="auto"/>
        <w:rPr>
          <w:bCs/>
          <w:color w:val="auto"/>
          <w:szCs w:val="20"/>
        </w:rPr>
      </w:pPr>
      <w:r w:rsidRPr="00297E43">
        <w:rPr>
          <w:bCs/>
          <w:color w:val="auto"/>
          <w:szCs w:val="20"/>
        </w:rPr>
        <w:t xml:space="preserve">O administrador </w:t>
      </w:r>
      <w:r w:rsidR="001169C3" w:rsidRPr="00297E43">
        <w:rPr>
          <w:bCs/>
          <w:color w:val="auto"/>
          <w:szCs w:val="20"/>
        </w:rPr>
        <w:t>OU</w:t>
      </w:r>
      <w:r w:rsidRPr="00297E43">
        <w:rPr>
          <w:bCs/>
          <w:color w:val="auto"/>
          <w:szCs w:val="20"/>
        </w:rPr>
        <w:t xml:space="preserve"> o gestor dos recursos seja instituição autorizada a funcionar pelo Banco Central do Brasil obrigada a instituir comitê de auditoria e comitê de riscos;</w:t>
      </w:r>
    </w:p>
    <w:p w14:paraId="03B8B405" w14:textId="77777777" w:rsidR="007A6621" w:rsidRPr="00297E43" w:rsidRDefault="007A6621" w:rsidP="005B5E5B">
      <w:pPr>
        <w:pStyle w:val="PargrafodaLista"/>
        <w:spacing w:beforeLines="120" w:before="288" w:line="240" w:lineRule="auto"/>
        <w:rPr>
          <w:bCs/>
          <w:color w:val="auto"/>
          <w:szCs w:val="20"/>
        </w:rPr>
      </w:pPr>
    </w:p>
    <w:p w14:paraId="54A9AED4" w14:textId="77777777" w:rsidR="007A6621" w:rsidRPr="00297E43" w:rsidRDefault="007A6621" w:rsidP="005B5E5B">
      <w:pPr>
        <w:pStyle w:val="PargrafodaLista"/>
        <w:numPr>
          <w:ilvl w:val="0"/>
          <w:numId w:val="29"/>
        </w:numPr>
        <w:spacing w:beforeLines="120" w:before="288" w:line="240" w:lineRule="auto"/>
        <w:rPr>
          <w:bCs/>
          <w:color w:val="auto"/>
          <w:szCs w:val="20"/>
        </w:rPr>
      </w:pPr>
      <w:r w:rsidRPr="00297E43">
        <w:rPr>
          <w:bCs/>
          <w:color w:val="auto"/>
          <w:szCs w:val="20"/>
        </w:rPr>
        <w:t>O administrador do fundo de investimento detenha, no máximo, 50% dos recursos sob sua administração oriundos de RPPS e</w:t>
      </w:r>
    </w:p>
    <w:p w14:paraId="47774891" w14:textId="77777777" w:rsidR="007A6621" w:rsidRPr="00297E43" w:rsidRDefault="007A6621" w:rsidP="005B5E5B">
      <w:pPr>
        <w:pStyle w:val="PargrafodaLista"/>
        <w:spacing w:beforeLines="120" w:before="288" w:line="240" w:lineRule="auto"/>
        <w:rPr>
          <w:bCs/>
          <w:color w:val="auto"/>
          <w:szCs w:val="20"/>
        </w:rPr>
      </w:pPr>
    </w:p>
    <w:p w14:paraId="6F6CCF4A" w14:textId="1D33134F" w:rsidR="007A6621" w:rsidRPr="00297E43" w:rsidRDefault="007A6621" w:rsidP="005B5E5B">
      <w:pPr>
        <w:pStyle w:val="PargrafodaLista"/>
        <w:numPr>
          <w:ilvl w:val="0"/>
          <w:numId w:val="29"/>
        </w:numPr>
        <w:spacing w:beforeLines="120" w:before="288" w:line="240" w:lineRule="auto"/>
        <w:rPr>
          <w:bCs/>
          <w:color w:val="auto"/>
          <w:szCs w:val="20"/>
        </w:rPr>
      </w:pPr>
      <w:r w:rsidRPr="00297E43">
        <w:rPr>
          <w:bCs/>
          <w:color w:val="auto"/>
          <w:szCs w:val="20"/>
        </w:rPr>
        <w:t>O gestor e o administrador do fundo de investimento tenham sido objeto de pr</w:t>
      </w:r>
      <w:r w:rsidR="00E7624B" w:rsidRPr="00297E43">
        <w:rPr>
          <w:bCs/>
          <w:color w:val="auto"/>
          <w:szCs w:val="20"/>
        </w:rPr>
        <w:t>évio credenciamento e que seja considerado pelos responsáveis pela gestão dos recursos do RPPS como de boa qualidade de gestão e ambiente de controle de investimento.</w:t>
      </w:r>
      <w:r w:rsidRPr="00297E43">
        <w:rPr>
          <w:bCs/>
          <w:color w:val="auto"/>
          <w:szCs w:val="20"/>
        </w:rPr>
        <w:t xml:space="preserve"> </w:t>
      </w:r>
    </w:p>
    <w:p w14:paraId="6CF03561" w14:textId="14062A16" w:rsidR="007A6621" w:rsidRPr="00297E43" w:rsidRDefault="00D03623" w:rsidP="00695F71">
      <w:pPr>
        <w:spacing w:beforeLines="120" w:before="288" w:line="240" w:lineRule="auto"/>
        <w:rPr>
          <w:color w:val="auto"/>
        </w:rPr>
      </w:pPr>
      <w:r w:rsidRPr="00297E43">
        <w:rPr>
          <w:bCs/>
          <w:color w:val="auto"/>
          <w:szCs w:val="20"/>
        </w:rPr>
        <w:t>Em atendimento aos requisitos dispostos, dever</w:t>
      </w:r>
      <w:r w:rsidR="00853003" w:rsidRPr="00297E43">
        <w:rPr>
          <w:bCs/>
          <w:color w:val="auto"/>
          <w:szCs w:val="20"/>
        </w:rPr>
        <w:t>ão</w:t>
      </w:r>
      <w:r w:rsidRPr="00297E43">
        <w:rPr>
          <w:bCs/>
          <w:color w:val="auto"/>
          <w:szCs w:val="20"/>
        </w:rPr>
        <w:t xml:space="preserve"> ser observados apenas quando da aplicação dos recursos</w:t>
      </w:r>
      <w:r w:rsidR="001169C3" w:rsidRPr="00297E43">
        <w:rPr>
          <w:bCs/>
          <w:color w:val="auto"/>
          <w:szCs w:val="20"/>
        </w:rPr>
        <w:t xml:space="preserve">, podendo os fundos de investimentos não enquadrados nos termos acima, permanecer na carteira de investimentos do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001169C3" w:rsidRPr="00297E43">
        <w:rPr>
          <w:color w:val="auto"/>
        </w:rPr>
        <w:t>até seu respectivo resgate ou vencimento, não sendo permitido novas aplicações</w:t>
      </w:r>
      <w:r w:rsidRPr="00297E43">
        <w:rPr>
          <w:color w:val="auto"/>
        </w:rPr>
        <w:t>.</w:t>
      </w:r>
    </w:p>
    <w:p w14:paraId="03E12F91" w14:textId="77777777" w:rsidR="006B0FB7" w:rsidRPr="00297E43" w:rsidRDefault="006B0FB7" w:rsidP="00314466">
      <w:pPr>
        <w:pStyle w:val="Ttulo2"/>
        <w:rPr>
          <w:color w:val="auto"/>
        </w:rPr>
      </w:pPr>
      <w:bookmarkStart w:id="77" w:name="_Toc435202745"/>
      <w:bookmarkStart w:id="78" w:name="_Toc490036551"/>
      <w:bookmarkStart w:id="79" w:name="_Toc20130603"/>
      <w:r w:rsidRPr="00297E43">
        <w:rPr>
          <w:color w:val="auto"/>
        </w:rPr>
        <w:t>VEDAÇÕES</w:t>
      </w:r>
      <w:bookmarkEnd w:id="77"/>
      <w:bookmarkEnd w:id="78"/>
      <w:bookmarkEnd w:id="79"/>
    </w:p>
    <w:p w14:paraId="70EA760F" w14:textId="6CC4779B" w:rsidR="006B0FB7" w:rsidRPr="00297E43" w:rsidRDefault="006B0FB7" w:rsidP="006B0FB7">
      <w:pPr>
        <w:spacing w:beforeLines="120" w:before="288" w:after="0" w:line="240" w:lineRule="auto"/>
        <w:rPr>
          <w:bCs/>
          <w:color w:val="auto"/>
          <w:szCs w:val="20"/>
        </w:rPr>
      </w:pPr>
      <w:r w:rsidRPr="00297E43">
        <w:rPr>
          <w:bCs/>
          <w:color w:val="auto"/>
          <w:szCs w:val="20"/>
        </w:rPr>
        <w:t xml:space="preserve">O Comitê de Investimento do </w:t>
      </w:r>
      <w:r w:rsidR="00314466" w:rsidRPr="00297E43">
        <w:rPr>
          <w:b/>
          <w:bCs/>
          <w:color w:val="auto"/>
          <w:szCs w:val="20"/>
        </w:rPr>
        <w:t>INSTITUTO DE PREVIDÊNCIA DOS SERVIDORES PÚBLICOS DO MUNICÍPIO DE BOM JESUS DOS PERDÕES – PREV BOM JESUS</w:t>
      </w:r>
      <w:r w:rsidR="00656721" w:rsidRPr="00297E43">
        <w:rPr>
          <w:bCs/>
          <w:color w:val="auto"/>
          <w:szCs w:val="20"/>
        </w:rPr>
        <w:t xml:space="preserve"> </w:t>
      </w:r>
      <w:r w:rsidRPr="00297E43">
        <w:rPr>
          <w:bCs/>
          <w:color w:val="auto"/>
          <w:szCs w:val="20"/>
        </w:rPr>
        <w:t>deverá seguir as vedações estabelecidas pela Resolução CMN n° 3.922/2010, ficando adicionalmente vedada a aquisição de:</w:t>
      </w:r>
    </w:p>
    <w:p w14:paraId="6DC019FA" w14:textId="77777777" w:rsidR="006B0FB7" w:rsidRPr="00297E43" w:rsidRDefault="006B0FB7" w:rsidP="00695F71">
      <w:pPr>
        <w:numPr>
          <w:ilvl w:val="0"/>
          <w:numId w:val="7"/>
        </w:numPr>
        <w:spacing w:beforeLines="120" w:before="288" w:after="0" w:line="240" w:lineRule="auto"/>
        <w:ind w:left="567"/>
        <w:rPr>
          <w:bCs/>
          <w:color w:val="auto"/>
          <w:szCs w:val="20"/>
        </w:rPr>
      </w:pPr>
      <w:r w:rsidRPr="00297E43">
        <w:rPr>
          <w:bCs/>
          <w:color w:val="auto"/>
          <w:szCs w:val="20"/>
        </w:rPr>
        <w:t>Operações compromissadas;</w:t>
      </w:r>
    </w:p>
    <w:p w14:paraId="7DB187D3" w14:textId="77777777" w:rsidR="004E31B0" w:rsidRPr="00297E43" w:rsidRDefault="004E31B0" w:rsidP="00695F71">
      <w:pPr>
        <w:numPr>
          <w:ilvl w:val="0"/>
          <w:numId w:val="7"/>
        </w:numPr>
        <w:spacing w:beforeLines="120" w:before="288" w:after="0" w:line="240" w:lineRule="auto"/>
        <w:ind w:left="567"/>
        <w:rPr>
          <w:bCs/>
          <w:color w:val="auto"/>
          <w:szCs w:val="20"/>
        </w:rPr>
      </w:pPr>
      <w:r w:rsidRPr="00297E43">
        <w:rPr>
          <w:bCs/>
          <w:color w:val="auto"/>
          <w:szCs w:val="20"/>
        </w:rPr>
        <w:t>Depósitos em Poupança;</w:t>
      </w:r>
    </w:p>
    <w:p w14:paraId="1EB49B2C" w14:textId="02837D02" w:rsidR="006B0FB7" w:rsidRPr="00297E43" w:rsidRDefault="006B0FB7" w:rsidP="00695F71">
      <w:pPr>
        <w:numPr>
          <w:ilvl w:val="0"/>
          <w:numId w:val="7"/>
        </w:numPr>
        <w:spacing w:beforeLines="120" w:before="288" w:after="0" w:line="240" w:lineRule="auto"/>
        <w:ind w:left="567"/>
        <w:rPr>
          <w:bCs/>
          <w:color w:val="auto"/>
          <w:szCs w:val="20"/>
        </w:rPr>
      </w:pPr>
      <w:r w:rsidRPr="00297E43">
        <w:rPr>
          <w:bCs/>
          <w:color w:val="auto"/>
          <w:szCs w:val="20"/>
        </w:rPr>
        <w:t>Aquisição de qualquer ativo final, emitido por Instituições Financeiras com alto risco de crédito;</w:t>
      </w:r>
    </w:p>
    <w:p w14:paraId="3FC1A707" w14:textId="77777777" w:rsidR="006B0FB7" w:rsidRPr="00297E43" w:rsidRDefault="006B0FB7" w:rsidP="00695F71">
      <w:pPr>
        <w:numPr>
          <w:ilvl w:val="0"/>
          <w:numId w:val="7"/>
        </w:numPr>
        <w:spacing w:beforeLines="120" w:before="288" w:after="0" w:line="240" w:lineRule="auto"/>
        <w:ind w:left="567"/>
        <w:rPr>
          <w:bCs/>
          <w:color w:val="auto"/>
          <w:szCs w:val="20"/>
        </w:rPr>
      </w:pPr>
      <w:r w:rsidRPr="00297E43">
        <w:rPr>
          <w:bCs/>
          <w:color w:val="auto"/>
          <w:szCs w:val="20"/>
        </w:rPr>
        <w:t>Cotas de Fundos em Participações (FIP) que não prevejam em seu regulamento a constituição de um Comitê de Acompanhamento que se reúna, no mínimo, trimestralmente e que faça a lavratura de atas, com vistas a monitorar o desempenho dos gestores e das empresas investidas;</w:t>
      </w:r>
    </w:p>
    <w:p w14:paraId="03318360" w14:textId="634299DB" w:rsidR="00A334F1" w:rsidRPr="00297E43" w:rsidRDefault="006B0FB7" w:rsidP="00A334F1">
      <w:pPr>
        <w:numPr>
          <w:ilvl w:val="0"/>
          <w:numId w:val="7"/>
        </w:numPr>
        <w:spacing w:beforeLines="120" w:before="288" w:after="0" w:line="240" w:lineRule="auto"/>
        <w:ind w:left="567"/>
        <w:rPr>
          <w:bCs/>
          <w:color w:val="auto"/>
          <w:szCs w:val="20"/>
        </w:rPr>
      </w:pPr>
      <w:r w:rsidRPr="00297E43">
        <w:rPr>
          <w:bCs/>
          <w:color w:val="auto"/>
          <w:szCs w:val="20"/>
        </w:rPr>
        <w:t>Cotas de Fundos de Investimentos Imobiliários (FII) que não prevejam em seu regulamento a constituição de um Comitê de Acompanhamento que se reúna, no mínimo, trimestralmente, e que faça a lavratura de atas, com vistas a monitorar o desempenho dos gestores e das em</w:t>
      </w:r>
      <w:r w:rsidR="007C1CC5" w:rsidRPr="00297E43">
        <w:rPr>
          <w:bCs/>
          <w:color w:val="auto"/>
          <w:szCs w:val="20"/>
        </w:rPr>
        <w:t>presas investidas.</w:t>
      </w:r>
    </w:p>
    <w:p w14:paraId="44C3B344" w14:textId="77777777" w:rsidR="00DA5D4A" w:rsidRPr="00297E43" w:rsidRDefault="00DA5D4A">
      <w:pPr>
        <w:rPr>
          <w:bCs/>
          <w:color w:val="auto"/>
          <w:szCs w:val="20"/>
        </w:rPr>
      </w:pPr>
      <w:r w:rsidRPr="00297E43">
        <w:rPr>
          <w:bCs/>
          <w:color w:val="auto"/>
          <w:szCs w:val="20"/>
        </w:rPr>
        <w:br w:type="page"/>
      </w:r>
    </w:p>
    <w:p w14:paraId="22C1239A" w14:textId="77777777" w:rsidR="006B0FB7" w:rsidRPr="00297E43" w:rsidRDefault="006B0FB7" w:rsidP="00695F71">
      <w:pPr>
        <w:pStyle w:val="Ttulo1"/>
        <w:rPr>
          <w:color w:val="auto"/>
        </w:rPr>
      </w:pPr>
      <w:bookmarkStart w:id="80" w:name="_Toc496794775"/>
      <w:bookmarkStart w:id="81" w:name="_Toc435202746"/>
      <w:bookmarkStart w:id="82" w:name="_Toc490036552"/>
      <w:bookmarkStart w:id="83" w:name="_Toc20130604"/>
      <w:bookmarkEnd w:id="80"/>
      <w:r w:rsidRPr="00297E43">
        <w:rPr>
          <w:color w:val="auto"/>
        </w:rPr>
        <w:lastRenderedPageBreak/>
        <w:t>META ATUARIAL</w:t>
      </w:r>
      <w:bookmarkEnd w:id="81"/>
      <w:bookmarkEnd w:id="82"/>
      <w:bookmarkEnd w:id="83"/>
    </w:p>
    <w:p w14:paraId="342393AD" w14:textId="71DCCE2E" w:rsidR="00BF00B3" w:rsidRPr="00297E43" w:rsidRDefault="00BF00B3" w:rsidP="006B0FB7">
      <w:pPr>
        <w:spacing w:beforeLines="120" w:before="288" w:after="0" w:line="240" w:lineRule="auto"/>
        <w:rPr>
          <w:bCs/>
          <w:color w:val="auto"/>
          <w:szCs w:val="20"/>
        </w:rPr>
      </w:pPr>
      <w:r w:rsidRPr="00297E43">
        <w:rPr>
          <w:bCs/>
          <w:color w:val="auto"/>
          <w:szCs w:val="20"/>
        </w:rPr>
        <w:t xml:space="preserve">A Portaria MF n° 464, de 19 de novembro de 2018, que estabelece as Normas Aplicáveis às Avaliações Atuariais dos Regimes Próprio de Previdência Social, determina que a taxa atuarial de juros a ser utilizada nas Avaliações Atuariais </w:t>
      </w:r>
      <w:r w:rsidR="00D03623" w:rsidRPr="00297E43">
        <w:rPr>
          <w:bCs/>
          <w:color w:val="auto"/>
          <w:szCs w:val="20"/>
        </w:rPr>
        <w:t xml:space="preserve">seja o </w:t>
      </w:r>
      <w:r w:rsidR="0049314C" w:rsidRPr="00297E43">
        <w:rPr>
          <w:bCs/>
          <w:color w:val="auto"/>
          <w:szCs w:val="20"/>
        </w:rPr>
        <w:t>menor percentual dentre o valor esperado da rentabilidade futura dos investimentos dos ativos garantidores do RPPS e a taxa de juros parâmetro cujo ponto da Estrutura a Termo da Taxa de Juros Média seja o mais próximo à duração do passivo do RPPS.</w:t>
      </w:r>
    </w:p>
    <w:p w14:paraId="475DA1A9" w14:textId="77777777" w:rsidR="006B0FB7" w:rsidRPr="00297E43" w:rsidRDefault="006B0FB7" w:rsidP="006B0FB7">
      <w:pPr>
        <w:spacing w:beforeLines="120" w:before="288" w:after="0" w:line="240" w:lineRule="auto"/>
        <w:rPr>
          <w:bCs/>
          <w:color w:val="auto"/>
          <w:szCs w:val="20"/>
        </w:rPr>
      </w:pPr>
      <w:r w:rsidRPr="00297E43">
        <w:rPr>
          <w:bCs/>
          <w:color w:val="auto"/>
          <w:szCs w:val="20"/>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14:paraId="0FB664F3" w14:textId="5BFF76C8" w:rsidR="00D03623" w:rsidRPr="00297E43" w:rsidRDefault="00D03623" w:rsidP="006B0FB7">
      <w:pPr>
        <w:spacing w:beforeLines="120" w:before="288" w:after="0" w:line="240" w:lineRule="auto"/>
        <w:rPr>
          <w:bCs/>
          <w:color w:val="auto"/>
          <w:szCs w:val="20"/>
        </w:rPr>
      </w:pPr>
      <w:r w:rsidRPr="00297E43">
        <w:rPr>
          <w:bCs/>
          <w:color w:val="auto"/>
          <w:szCs w:val="20"/>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 se tornará insolvente, comprometendo o pagamento das aposentadorias e pensões em algum momento no futuro.</w:t>
      </w:r>
    </w:p>
    <w:p w14:paraId="248C9E0C" w14:textId="75DD2213" w:rsidR="00BE2E19" w:rsidRPr="00297E43" w:rsidRDefault="00BE2E19" w:rsidP="006B0FB7">
      <w:pPr>
        <w:spacing w:beforeLines="120" w:before="288" w:after="0" w:line="240" w:lineRule="auto"/>
        <w:rPr>
          <w:bCs/>
          <w:color w:val="auto"/>
          <w:szCs w:val="20"/>
        </w:rPr>
      </w:pPr>
      <w:r w:rsidRPr="00297E43">
        <w:rPr>
          <w:bCs/>
          <w:color w:val="auto"/>
          <w:szCs w:val="20"/>
        </w:rPr>
        <w:t xml:space="preserve">Considerando os resultados obtidos </w:t>
      </w:r>
      <w:r w:rsidR="00164C96" w:rsidRPr="00297E43">
        <w:rPr>
          <w:bCs/>
          <w:color w:val="auto"/>
          <w:szCs w:val="20"/>
        </w:rPr>
        <w:t>em</w:t>
      </w:r>
      <w:r w:rsidR="00221219" w:rsidRPr="00297E43">
        <w:rPr>
          <w:bCs/>
          <w:color w:val="auto"/>
          <w:szCs w:val="20"/>
        </w:rPr>
        <w:t xml:space="preserve"> estudo técnico elaborado através das reservas técnicas atuariais (ativos) e as reservas matemáticas (passivo) projetadas pelo cálculo atuarial </w:t>
      </w:r>
      <w:r w:rsidR="00164C96" w:rsidRPr="00297E43">
        <w:rPr>
          <w:bCs/>
          <w:color w:val="auto"/>
          <w:szCs w:val="20"/>
        </w:rPr>
        <w:t xml:space="preserve">e </w:t>
      </w:r>
      <w:r w:rsidR="00221219" w:rsidRPr="00297E43">
        <w:rPr>
          <w:bCs/>
          <w:color w:val="auto"/>
          <w:szCs w:val="20"/>
        </w:rPr>
        <w:t>a compatibilidade dos ativos investidos com os prazo e taxas das obrigações presentes e futuras do regime</w:t>
      </w:r>
      <w:r w:rsidR="00164C96" w:rsidRPr="00297E43">
        <w:rPr>
          <w:bCs/>
          <w:color w:val="auto"/>
          <w:szCs w:val="20"/>
        </w:rPr>
        <w:t xml:space="preserve"> obtivera como taxa de desconto o percentual de </w:t>
      </w:r>
      <w:r w:rsidR="00164C96" w:rsidRPr="00297E43">
        <w:rPr>
          <w:b/>
          <w:bCs/>
          <w:color w:val="auto"/>
          <w:szCs w:val="20"/>
        </w:rPr>
        <w:t>XX,XX% (XXXXXXXX por cento)</w:t>
      </w:r>
      <w:r w:rsidR="00164C96" w:rsidRPr="00297E43">
        <w:rPr>
          <w:bCs/>
          <w:color w:val="auto"/>
          <w:szCs w:val="20"/>
        </w:rPr>
        <w:t>.</w:t>
      </w:r>
    </w:p>
    <w:p w14:paraId="46EC9524" w14:textId="29974074" w:rsidR="00164C96" w:rsidRPr="00297E43" w:rsidRDefault="00164C96" w:rsidP="006B0FB7">
      <w:pPr>
        <w:spacing w:beforeLines="120" w:before="288" w:after="0" w:line="240" w:lineRule="auto"/>
        <w:rPr>
          <w:bCs/>
          <w:color w:val="auto"/>
          <w:szCs w:val="20"/>
        </w:rPr>
      </w:pPr>
      <w:r w:rsidRPr="00297E43">
        <w:rPr>
          <w:bCs/>
          <w:color w:val="auto"/>
          <w:szCs w:val="20"/>
        </w:rPr>
        <w:t xml:space="preserve">Agora, considerando o resultado da duração do passivo do </w:t>
      </w:r>
      <w:r w:rsidR="00314466" w:rsidRPr="00297E43">
        <w:rPr>
          <w:b/>
          <w:bCs/>
          <w:color w:val="auto"/>
          <w:szCs w:val="20"/>
        </w:rPr>
        <w:t>INSTITUTO DE PREVIDÊNCIA DOS SERVIDORES PÚBLICOS DO MUNICÍPIO DE BOM JESUS DOS PERDÕES – PREV BOM JESUS</w:t>
      </w:r>
      <w:r w:rsidR="00B6040D" w:rsidRPr="00297E43">
        <w:rPr>
          <w:color w:val="auto"/>
        </w:rPr>
        <w:t xml:space="preserve"> </w:t>
      </w:r>
      <w:r w:rsidRPr="00297E43">
        <w:rPr>
          <w:color w:val="auto"/>
        </w:rPr>
        <w:t>a taxa de juros parâmetro definida é de</w:t>
      </w:r>
      <w:r w:rsidRPr="00297E43">
        <w:rPr>
          <w:bCs/>
          <w:color w:val="auto"/>
          <w:szCs w:val="20"/>
        </w:rPr>
        <w:t xml:space="preserve"> </w:t>
      </w:r>
      <w:r w:rsidRPr="00297E43">
        <w:rPr>
          <w:b/>
          <w:bCs/>
          <w:color w:val="auto"/>
          <w:szCs w:val="20"/>
        </w:rPr>
        <w:t>XX,XX% (XXXXXXXX por cento)</w:t>
      </w:r>
      <w:r w:rsidRPr="00297E43">
        <w:rPr>
          <w:bCs/>
          <w:color w:val="auto"/>
          <w:szCs w:val="20"/>
        </w:rPr>
        <w:t>.</w:t>
      </w:r>
    </w:p>
    <w:p w14:paraId="1A2F1739" w14:textId="448B8546" w:rsidR="00FC5ADA" w:rsidRPr="00297E43" w:rsidRDefault="00FC5ADA" w:rsidP="006B0FB7">
      <w:pPr>
        <w:spacing w:beforeLines="120" w:before="288" w:after="0" w:line="240" w:lineRule="auto"/>
        <w:rPr>
          <w:bCs/>
          <w:color w:val="auto"/>
          <w:szCs w:val="20"/>
        </w:rPr>
      </w:pPr>
      <w:r w:rsidRPr="00297E43">
        <w:rPr>
          <w:bCs/>
          <w:color w:val="auto"/>
          <w:szCs w:val="20"/>
        </w:rPr>
        <w:t xml:space="preserve">Fica assim definida como taxa de desconto ou simplesmente Meta Atuarial para o exercício de 2020 a taxa de </w:t>
      </w:r>
      <w:r w:rsidRPr="00297E43">
        <w:rPr>
          <w:b/>
          <w:bCs/>
          <w:color w:val="auto"/>
          <w:szCs w:val="20"/>
        </w:rPr>
        <w:t>XX,XX%</w:t>
      </w:r>
      <w:r w:rsidR="000B4827" w:rsidRPr="00297E43">
        <w:rPr>
          <w:b/>
          <w:bCs/>
          <w:color w:val="auto"/>
          <w:szCs w:val="20"/>
        </w:rPr>
        <w:t xml:space="preserve"> (XXXXX por cento)</w:t>
      </w:r>
      <w:r w:rsidR="000B4827" w:rsidRPr="00297E43">
        <w:rPr>
          <w:bCs/>
          <w:color w:val="auto"/>
          <w:szCs w:val="20"/>
        </w:rPr>
        <w:t xml:space="preserve">, somado a inflação de </w:t>
      </w:r>
      <w:r w:rsidR="004F1D93" w:rsidRPr="00297E43">
        <w:rPr>
          <w:b/>
          <w:bCs/>
          <w:color w:val="auto"/>
          <w:szCs w:val="20"/>
        </w:rPr>
        <w:t>(I</w:t>
      </w:r>
      <w:r w:rsidR="00656721" w:rsidRPr="00297E43">
        <w:rPr>
          <w:b/>
          <w:bCs/>
          <w:color w:val="auto"/>
          <w:szCs w:val="20"/>
        </w:rPr>
        <w:t>NPC</w:t>
      </w:r>
      <w:r w:rsidR="000B4827" w:rsidRPr="00297E43">
        <w:rPr>
          <w:b/>
          <w:bCs/>
          <w:color w:val="auto"/>
          <w:szCs w:val="20"/>
        </w:rPr>
        <w:t>).</w:t>
      </w:r>
    </w:p>
    <w:p w14:paraId="32BA4324" w14:textId="2E3BCF69" w:rsidR="006B0FB7" w:rsidRPr="00297E43" w:rsidRDefault="006B0FB7" w:rsidP="006B0FB7">
      <w:pPr>
        <w:spacing w:beforeLines="120" w:before="288" w:after="0" w:line="240" w:lineRule="auto"/>
        <w:rPr>
          <w:bCs/>
          <w:color w:val="auto"/>
          <w:szCs w:val="20"/>
        </w:rPr>
      </w:pPr>
      <w:r w:rsidRPr="00297E43">
        <w:rPr>
          <w:bCs/>
          <w:color w:val="auto"/>
          <w:szCs w:val="20"/>
        </w:rPr>
        <w:t>Ainda assim, o </w:t>
      </w:r>
      <w:r w:rsidR="00314466" w:rsidRPr="00297E43">
        <w:rPr>
          <w:b/>
          <w:bCs/>
          <w:color w:val="auto"/>
          <w:szCs w:val="20"/>
        </w:rPr>
        <w:t>INSTITUTO DE PREVIDÊNCIA DOS SERVIDORES PÚBLICOS DO MUNICÍPIO DE BOM JESUS DOS PERDÕES – PREV BOM JESUS</w:t>
      </w:r>
      <w:r w:rsidR="00314466" w:rsidRPr="00297E43">
        <w:rPr>
          <w:bCs/>
          <w:color w:val="auto"/>
          <w:szCs w:val="20"/>
        </w:rPr>
        <w:t xml:space="preserve"> </w:t>
      </w:r>
      <w:r w:rsidR="00164773" w:rsidRPr="00297E43">
        <w:rPr>
          <w:bCs/>
          <w:color w:val="auto"/>
          <w:szCs w:val="20"/>
        </w:rPr>
        <w:t xml:space="preserve">no exercício de sua </w:t>
      </w:r>
      <w:r w:rsidRPr="00297E43">
        <w:rPr>
          <w:bCs/>
          <w:color w:val="auto"/>
          <w:szCs w:val="20"/>
        </w:rPr>
        <w:t>execução</w:t>
      </w:r>
      <w:r w:rsidR="00164773" w:rsidRPr="00297E43">
        <w:rPr>
          <w:bCs/>
          <w:color w:val="auto"/>
          <w:szCs w:val="20"/>
        </w:rPr>
        <w:t>, através</w:t>
      </w:r>
      <w:r w:rsidRPr="00297E43">
        <w:rPr>
          <w:bCs/>
          <w:color w:val="auto"/>
          <w:szCs w:val="20"/>
        </w:rPr>
        <w:t xml:space="preserve"> de estudos </w:t>
      </w:r>
      <w:r w:rsidR="00164773" w:rsidRPr="00297E43">
        <w:rPr>
          <w:bCs/>
          <w:color w:val="auto"/>
          <w:szCs w:val="20"/>
        </w:rPr>
        <w:t xml:space="preserve">técnicos, promoverá o acompanhamento das duas taxas para </w:t>
      </w:r>
      <w:r w:rsidRPr="00297E43">
        <w:rPr>
          <w:bCs/>
          <w:color w:val="auto"/>
          <w:szCs w:val="20"/>
        </w:rPr>
        <w:t xml:space="preserve">que </w:t>
      </w:r>
      <w:r w:rsidR="00164773" w:rsidRPr="00297E43">
        <w:rPr>
          <w:bCs/>
          <w:color w:val="auto"/>
          <w:szCs w:val="20"/>
        </w:rPr>
        <w:t xml:space="preserve">seja </w:t>
      </w:r>
      <w:r w:rsidRPr="00297E43">
        <w:rPr>
          <w:bCs/>
          <w:color w:val="auto"/>
          <w:szCs w:val="20"/>
        </w:rPr>
        <w:t>evidenc</w:t>
      </w:r>
      <w:r w:rsidR="00164773" w:rsidRPr="00297E43">
        <w:rPr>
          <w:bCs/>
          <w:color w:val="auto"/>
          <w:szCs w:val="20"/>
        </w:rPr>
        <w:t>iado</w:t>
      </w:r>
      <w:r w:rsidRPr="00297E43">
        <w:rPr>
          <w:bCs/>
          <w:color w:val="auto"/>
          <w:szCs w:val="20"/>
        </w:rPr>
        <w:t xml:space="preserve">, no longo prazo, qual </w:t>
      </w:r>
      <w:r w:rsidR="00BA077C" w:rsidRPr="00297E43">
        <w:rPr>
          <w:bCs/>
          <w:color w:val="auto"/>
          <w:szCs w:val="20"/>
        </w:rPr>
        <w:t>proporcionava a melhor</w:t>
      </w:r>
      <w:r w:rsidR="009C66AE" w:rsidRPr="00297E43">
        <w:rPr>
          <w:bCs/>
          <w:color w:val="auto"/>
          <w:szCs w:val="20"/>
        </w:rPr>
        <w:t xml:space="preserve"> </w:t>
      </w:r>
      <w:r w:rsidRPr="00297E43">
        <w:rPr>
          <w:bCs/>
          <w:color w:val="auto"/>
          <w:szCs w:val="20"/>
        </w:rPr>
        <w:t xml:space="preserve">situação financeiro-atuarial </w:t>
      </w:r>
      <w:r w:rsidR="00BA077C" w:rsidRPr="00297E43">
        <w:rPr>
          <w:bCs/>
          <w:color w:val="auto"/>
          <w:szCs w:val="20"/>
        </w:rPr>
        <w:t xml:space="preserve">para o </w:t>
      </w:r>
      <w:r w:rsidRPr="00297E43">
        <w:rPr>
          <w:bCs/>
          <w:color w:val="auto"/>
          <w:szCs w:val="20"/>
        </w:rPr>
        <w:t>plano de benefícios previdenciários.</w:t>
      </w:r>
    </w:p>
    <w:p w14:paraId="2EAE940C" w14:textId="77777777" w:rsidR="008815C6" w:rsidRPr="00297E43" w:rsidRDefault="008815C6">
      <w:pPr>
        <w:rPr>
          <w:bCs/>
          <w:color w:val="auto"/>
          <w:szCs w:val="20"/>
        </w:rPr>
      </w:pPr>
      <w:r w:rsidRPr="00297E43">
        <w:rPr>
          <w:bCs/>
          <w:color w:val="auto"/>
          <w:szCs w:val="20"/>
        </w:rPr>
        <w:br w:type="page"/>
      </w:r>
    </w:p>
    <w:p w14:paraId="7A724D46" w14:textId="1B4BAB10" w:rsidR="006B0FB7" w:rsidRPr="00297E43" w:rsidRDefault="006B0FB7" w:rsidP="00695F71">
      <w:pPr>
        <w:pStyle w:val="Ttulo1"/>
        <w:rPr>
          <w:color w:val="auto"/>
        </w:rPr>
      </w:pPr>
      <w:bookmarkStart w:id="84" w:name="_Toc435202747"/>
      <w:bookmarkStart w:id="85" w:name="_Toc490036553"/>
      <w:bookmarkStart w:id="86" w:name="_Toc20130605"/>
      <w:r w:rsidRPr="00297E43">
        <w:rPr>
          <w:color w:val="auto"/>
        </w:rPr>
        <w:lastRenderedPageBreak/>
        <w:t>ESTRUTURA DE GESTÃO</w:t>
      </w:r>
      <w:bookmarkEnd w:id="84"/>
      <w:bookmarkEnd w:id="85"/>
      <w:bookmarkEnd w:id="86"/>
    </w:p>
    <w:p w14:paraId="593AB6C1" w14:textId="40EE4EC4" w:rsidR="00C77896" w:rsidRPr="00297E43" w:rsidRDefault="00C77896" w:rsidP="00C77896">
      <w:pPr>
        <w:spacing w:beforeLines="120" w:before="288" w:line="240" w:lineRule="auto"/>
        <w:rPr>
          <w:bCs/>
          <w:color w:val="auto"/>
          <w:szCs w:val="20"/>
        </w:rPr>
      </w:pPr>
      <w:r w:rsidRPr="00297E43">
        <w:rPr>
          <w:bCs/>
          <w:color w:val="auto"/>
          <w:szCs w:val="20"/>
        </w:rPr>
        <w:t xml:space="preserve">De acordo com as hipóteses previstas na Resolução CMN nº 3.922/2010, a aplicação dos </w:t>
      </w:r>
      <w:r w:rsidR="00DA540E" w:rsidRPr="00297E43">
        <w:rPr>
          <w:bCs/>
          <w:color w:val="auto"/>
          <w:szCs w:val="20"/>
        </w:rPr>
        <w:t xml:space="preserve">investimentos </w:t>
      </w:r>
      <w:r w:rsidRPr="00297E43">
        <w:rPr>
          <w:bCs/>
          <w:color w:val="auto"/>
          <w:szCs w:val="20"/>
        </w:rPr>
        <w:t>será realizada por gestão própria, terceirizada ou mista.</w:t>
      </w:r>
    </w:p>
    <w:p w14:paraId="5EA572B7" w14:textId="7843AA60" w:rsidR="00C77896" w:rsidRPr="00297E43" w:rsidRDefault="00C77896" w:rsidP="00C77896">
      <w:pPr>
        <w:spacing w:beforeLines="120" w:before="288" w:line="240" w:lineRule="auto"/>
        <w:rPr>
          <w:bCs/>
          <w:color w:val="auto"/>
          <w:szCs w:val="20"/>
        </w:rPr>
      </w:pPr>
      <w:r w:rsidRPr="00297E43">
        <w:rPr>
          <w:bCs/>
          <w:color w:val="auto"/>
          <w:szCs w:val="20"/>
        </w:rPr>
        <w:t xml:space="preserve">Para a vigência desta Política de Investimentos, a gestão das aplicações dos recursos do </w:t>
      </w:r>
      <w:r w:rsidR="00314466" w:rsidRPr="00297E43">
        <w:rPr>
          <w:b/>
          <w:bCs/>
          <w:color w:val="auto"/>
          <w:szCs w:val="20"/>
        </w:rPr>
        <w:t>INSTITUTO DE PREVIDÊNCIA DOS SERVIDORES PÚBLICOS DO MUNICÍPIO DE BOM JESUS DOS PERDÕES – PREV BOM JESUS</w:t>
      </w:r>
      <w:r w:rsidR="00F35D75" w:rsidRPr="00297E43">
        <w:rPr>
          <w:b/>
          <w:bCs/>
          <w:color w:val="auto"/>
          <w:szCs w:val="20"/>
        </w:rPr>
        <w:t xml:space="preserve"> </w:t>
      </w:r>
      <w:r w:rsidRPr="00297E43">
        <w:rPr>
          <w:bCs/>
          <w:color w:val="auto"/>
          <w:szCs w:val="20"/>
        </w:rPr>
        <w:t xml:space="preserve">será </w:t>
      </w:r>
      <w:r w:rsidRPr="00297E43">
        <w:rPr>
          <w:b/>
          <w:bCs/>
          <w:color w:val="auto"/>
          <w:szCs w:val="20"/>
        </w:rPr>
        <w:t>própria</w:t>
      </w:r>
      <w:r w:rsidRPr="00297E43">
        <w:rPr>
          <w:bCs/>
          <w:color w:val="auto"/>
          <w:szCs w:val="20"/>
        </w:rPr>
        <w:t>.</w:t>
      </w:r>
    </w:p>
    <w:p w14:paraId="791D49B4" w14:textId="225DA149" w:rsidR="00C77896" w:rsidRPr="00297E43" w:rsidRDefault="00C77896" w:rsidP="00314466">
      <w:pPr>
        <w:pStyle w:val="Ttulo2"/>
        <w:rPr>
          <w:color w:val="auto"/>
        </w:rPr>
      </w:pPr>
      <w:bookmarkStart w:id="87" w:name="_Toc20130606"/>
      <w:r w:rsidRPr="00297E43">
        <w:rPr>
          <w:color w:val="auto"/>
        </w:rPr>
        <w:t>GESTÃO PRÓPRIA</w:t>
      </w:r>
      <w:bookmarkEnd w:id="87"/>
    </w:p>
    <w:p w14:paraId="244AB154" w14:textId="115099C3" w:rsidR="00C77896" w:rsidRPr="00297E43" w:rsidRDefault="00C77896" w:rsidP="00C77896">
      <w:pPr>
        <w:rPr>
          <w:color w:val="auto"/>
        </w:rPr>
      </w:pPr>
      <w:r w:rsidRPr="00297E43">
        <w:rPr>
          <w:color w:val="auto"/>
        </w:rPr>
        <w:t>A adoção deste modelo de gestão significa que o total dos recursos ficará sob a responsabilidade do RPPS</w:t>
      </w:r>
      <w:r w:rsidR="00AD1589" w:rsidRPr="00297E43">
        <w:rPr>
          <w:color w:val="auto"/>
        </w:rPr>
        <w:t xml:space="preserve"> e os agentes envolvidos diretamente no processo</w:t>
      </w:r>
      <w:r w:rsidRPr="00297E43">
        <w:rPr>
          <w:color w:val="auto"/>
        </w:rPr>
        <w:t>, com profissionais qualificados e certificados por entidade de certificação reconhecida pelo Ministério</w:t>
      </w:r>
      <w:r w:rsidR="003C6E94" w:rsidRPr="00297E43">
        <w:rPr>
          <w:color w:val="auto"/>
        </w:rPr>
        <w:t xml:space="preserve"> da Fazenda, Secretária de Previdência</w:t>
      </w:r>
      <w:r w:rsidRPr="00297E43">
        <w:rPr>
          <w:color w:val="auto"/>
        </w:rPr>
        <w:t xml:space="preserve">, conforme exigência da Portaria MPS nº 519, de 24 de agosto de 2011, e contará com </w:t>
      </w:r>
      <w:r w:rsidR="003C6E94" w:rsidRPr="00297E43">
        <w:rPr>
          <w:color w:val="auto"/>
        </w:rPr>
        <w:t xml:space="preserve">o </w:t>
      </w:r>
      <w:r w:rsidRPr="00297E43">
        <w:rPr>
          <w:color w:val="auto"/>
        </w:rPr>
        <w:t xml:space="preserve">Comitê de Investimentos como órgão participativo do processo de análise, com o objetivo de gerenciar a aplicação de recursos conjuntamente com a Diretoria Executiva, escolhendo os ativos, delimitando os níveis de riscos, estabelecendo os prazos para as aplicações, </w:t>
      </w:r>
      <w:r w:rsidR="00AA3BF8" w:rsidRPr="00297E43">
        <w:rPr>
          <w:color w:val="auto"/>
        </w:rPr>
        <w:t xml:space="preserve">e com a deliberação do Conselho Deliberativo, com o único objetivo de deliberar sobre as análise promovidas pelo Comitê de Investimentos e Diretoria Executiva, observando o cumprimento </w:t>
      </w:r>
      <w:r w:rsidRPr="00297E43">
        <w:rPr>
          <w:color w:val="auto"/>
        </w:rPr>
        <w:t xml:space="preserve"> obrigatório </w:t>
      </w:r>
      <w:r w:rsidR="00AA3BF8" w:rsidRPr="00297E43">
        <w:rPr>
          <w:color w:val="auto"/>
        </w:rPr>
        <w:t>d</w:t>
      </w:r>
      <w:r w:rsidRPr="00297E43">
        <w:rPr>
          <w:color w:val="auto"/>
        </w:rPr>
        <w:t xml:space="preserve">o Credenciamento </w:t>
      </w:r>
      <w:r w:rsidR="003C6E94" w:rsidRPr="00297E43">
        <w:rPr>
          <w:color w:val="auto"/>
        </w:rPr>
        <w:t>prévio das instituições financeiras escolhidas para receber as aplicações dos recursos</w:t>
      </w:r>
      <w:r w:rsidRPr="00297E43">
        <w:rPr>
          <w:color w:val="auto"/>
        </w:rPr>
        <w:t>.</w:t>
      </w:r>
    </w:p>
    <w:p w14:paraId="38794989" w14:textId="562BCFD2" w:rsidR="00C77896" w:rsidRPr="00297E43" w:rsidRDefault="00C77896" w:rsidP="00C77896">
      <w:pPr>
        <w:rPr>
          <w:color w:val="auto"/>
        </w:rPr>
      </w:pPr>
      <w:r w:rsidRPr="00297E43">
        <w:rPr>
          <w:color w:val="auto"/>
        </w:rPr>
        <w:t xml:space="preserve">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Pr="00297E43">
        <w:rPr>
          <w:color w:val="auto"/>
        </w:rPr>
        <w:t>tem ainda a prerrogativ</w:t>
      </w:r>
      <w:r w:rsidR="00B442AC" w:rsidRPr="00297E43">
        <w:rPr>
          <w:color w:val="auto"/>
        </w:rPr>
        <w:t>a da contratação de empresa de C</w:t>
      </w:r>
      <w:r w:rsidRPr="00297E43">
        <w:rPr>
          <w:color w:val="auto"/>
        </w:rPr>
        <w:t>onsultoria</w:t>
      </w:r>
      <w:r w:rsidR="001D3E21" w:rsidRPr="00297E43">
        <w:rPr>
          <w:color w:val="auto"/>
        </w:rPr>
        <w:t xml:space="preserve"> de </w:t>
      </w:r>
      <w:r w:rsidR="00B442AC" w:rsidRPr="00297E43">
        <w:rPr>
          <w:color w:val="auto"/>
        </w:rPr>
        <w:t>V</w:t>
      </w:r>
      <w:r w:rsidR="001D3E21" w:rsidRPr="00297E43">
        <w:rPr>
          <w:color w:val="auto"/>
        </w:rPr>
        <w:t xml:space="preserve">alores </w:t>
      </w:r>
      <w:r w:rsidR="00B442AC" w:rsidRPr="00297E43">
        <w:rPr>
          <w:color w:val="auto"/>
        </w:rPr>
        <w:t>M</w:t>
      </w:r>
      <w:r w:rsidR="001D3E21" w:rsidRPr="00297E43">
        <w:rPr>
          <w:color w:val="auto"/>
        </w:rPr>
        <w:t>obiliários</w:t>
      </w:r>
      <w:r w:rsidRPr="00297E43">
        <w:rPr>
          <w:color w:val="auto"/>
        </w:rPr>
        <w:t>, de acordo com os critérios estabelecidos na Resolução CMN nº 3.922</w:t>
      </w:r>
      <w:r w:rsidR="00B442AC" w:rsidRPr="00297E43">
        <w:rPr>
          <w:color w:val="auto"/>
        </w:rPr>
        <w:t>/2010</w:t>
      </w:r>
      <w:r w:rsidR="00D41BC7" w:rsidRPr="00297E43">
        <w:rPr>
          <w:color w:val="auto"/>
        </w:rPr>
        <w:t xml:space="preserve">, </w:t>
      </w:r>
      <w:r w:rsidR="004D30CD" w:rsidRPr="00297E43">
        <w:rPr>
          <w:color w:val="auto"/>
        </w:rPr>
        <w:t>Portaria n° 519, de 24 de agosto de 2011</w:t>
      </w:r>
      <w:r w:rsidR="00D41BC7" w:rsidRPr="00297E43">
        <w:rPr>
          <w:color w:val="auto"/>
        </w:rPr>
        <w:t xml:space="preserve"> e Instrução CVM n° 592, de 17 de novembro de 2017</w:t>
      </w:r>
      <w:r w:rsidRPr="00297E43">
        <w:rPr>
          <w:color w:val="auto"/>
        </w:rPr>
        <w:t xml:space="preserve">, para </w:t>
      </w:r>
      <w:r w:rsidR="001D3E21" w:rsidRPr="00297E43">
        <w:rPr>
          <w:color w:val="auto"/>
        </w:rPr>
        <w:t xml:space="preserve">a prestação dos serviços de orientação, recomendação e aconselhamento, sobre investimentos no mercado de valores mobiliários, cuja adoção e implementação </w:t>
      </w:r>
      <w:r w:rsidR="00801A55" w:rsidRPr="00297E43">
        <w:rPr>
          <w:color w:val="auto"/>
        </w:rPr>
        <w:t xml:space="preserve">sejam </w:t>
      </w:r>
      <w:r w:rsidR="00D41BC7" w:rsidRPr="00297E43">
        <w:rPr>
          <w:color w:val="auto"/>
        </w:rPr>
        <w:t xml:space="preserve">únicas e </w:t>
      </w:r>
      <w:r w:rsidR="00801A55" w:rsidRPr="00297E43">
        <w:rPr>
          <w:color w:val="auto"/>
        </w:rPr>
        <w:t>exclusivas do RPPS</w:t>
      </w:r>
      <w:r w:rsidR="001D3E21" w:rsidRPr="00297E43">
        <w:rPr>
          <w:color w:val="auto"/>
        </w:rPr>
        <w:t>.</w:t>
      </w:r>
    </w:p>
    <w:p w14:paraId="2CA3A942" w14:textId="77777777" w:rsidR="006B0FB7" w:rsidRPr="00297E43" w:rsidRDefault="006B0FB7" w:rsidP="00314466">
      <w:pPr>
        <w:pStyle w:val="Ttulo2"/>
        <w:rPr>
          <w:color w:val="auto"/>
        </w:rPr>
      </w:pPr>
      <w:bookmarkStart w:id="88" w:name="_Toc435189691"/>
      <w:bookmarkStart w:id="89" w:name="_Toc435202749"/>
      <w:bookmarkStart w:id="90" w:name="_Toc490036555"/>
      <w:bookmarkStart w:id="91" w:name="_Toc20130607"/>
      <w:r w:rsidRPr="00297E43">
        <w:rPr>
          <w:color w:val="auto"/>
        </w:rPr>
        <w:t>ÓRGÃOS DE E</w:t>
      </w:r>
      <w:bookmarkEnd w:id="88"/>
      <w:r w:rsidRPr="00297E43">
        <w:rPr>
          <w:color w:val="auto"/>
        </w:rPr>
        <w:t>XECUÇÃO</w:t>
      </w:r>
      <w:bookmarkEnd w:id="89"/>
      <w:bookmarkEnd w:id="90"/>
      <w:bookmarkEnd w:id="91"/>
    </w:p>
    <w:p w14:paraId="1DA112C9" w14:textId="7A380679" w:rsidR="005B5E5B" w:rsidRPr="00297E43" w:rsidRDefault="006B0FB7" w:rsidP="006B0FB7">
      <w:pPr>
        <w:spacing w:beforeLines="120" w:before="288" w:after="0" w:line="240" w:lineRule="auto"/>
        <w:rPr>
          <w:bCs/>
          <w:color w:val="auto"/>
          <w:szCs w:val="20"/>
        </w:rPr>
      </w:pPr>
      <w:r w:rsidRPr="00297E43">
        <w:rPr>
          <w:bCs/>
          <w:color w:val="auto"/>
          <w:szCs w:val="20"/>
        </w:rPr>
        <w:t>Compete ao Comitê de Investimentos a elaboração da Política de Investimento</w:t>
      </w:r>
      <w:r w:rsidR="00DB2619" w:rsidRPr="00297E43">
        <w:rPr>
          <w:bCs/>
          <w:color w:val="auto"/>
          <w:szCs w:val="20"/>
        </w:rPr>
        <w:t xml:space="preserve"> juntamente com a Diretoria Executiva</w:t>
      </w:r>
      <w:r w:rsidRPr="00297E43">
        <w:rPr>
          <w:bCs/>
          <w:color w:val="auto"/>
          <w:szCs w:val="20"/>
        </w:rPr>
        <w:t>, que deve submetê-la para aprovação ao Conselho Deliberativo, órgão superior competente para definições estratégicas do RPPS. Essa estrutura garante a demonstração da segregação de funções adotadas pelos órgãos de execução, estando em linha com as práticas de mercado para uma boa governança corporativa.</w:t>
      </w:r>
    </w:p>
    <w:p w14:paraId="1579ECD5" w14:textId="05A12E90" w:rsidR="00102729" w:rsidRPr="00297E43" w:rsidRDefault="00102729" w:rsidP="006B0FB7">
      <w:pPr>
        <w:spacing w:beforeLines="120" w:before="288" w:after="0" w:line="240" w:lineRule="auto"/>
        <w:rPr>
          <w:bCs/>
          <w:color w:val="auto"/>
          <w:szCs w:val="20"/>
        </w:rPr>
      </w:pPr>
      <w:r w:rsidRPr="00297E43">
        <w:rPr>
          <w:bCs/>
          <w:color w:val="auto"/>
          <w:szCs w:val="20"/>
        </w:rPr>
        <w:t>Não fica excluída a possibilidade da Consultoria de Valores Mobiliários fornecer “minuta” para apreciação do Comitê de Investimentos e Diretoria Executiva.</w:t>
      </w:r>
    </w:p>
    <w:p w14:paraId="525D48F7" w14:textId="77777777" w:rsidR="005B5E5B" w:rsidRPr="00297E43" w:rsidRDefault="005B5E5B">
      <w:pPr>
        <w:jc w:val="left"/>
        <w:rPr>
          <w:bCs/>
          <w:color w:val="auto"/>
          <w:szCs w:val="20"/>
        </w:rPr>
      </w:pPr>
      <w:r w:rsidRPr="00297E43">
        <w:rPr>
          <w:bCs/>
          <w:color w:val="auto"/>
          <w:szCs w:val="20"/>
        </w:rPr>
        <w:br w:type="page"/>
      </w:r>
    </w:p>
    <w:p w14:paraId="09FE264B" w14:textId="77777777" w:rsidR="006B0FB7" w:rsidRPr="00297E43" w:rsidRDefault="006B0FB7" w:rsidP="00695F71">
      <w:pPr>
        <w:pStyle w:val="Ttulo1"/>
        <w:rPr>
          <w:color w:val="auto"/>
        </w:rPr>
      </w:pPr>
      <w:bookmarkStart w:id="92" w:name="_Toc435202750"/>
      <w:bookmarkStart w:id="93" w:name="_Toc490036556"/>
      <w:bookmarkStart w:id="94" w:name="_Toc20130608"/>
      <w:r w:rsidRPr="00297E43">
        <w:rPr>
          <w:color w:val="auto"/>
        </w:rPr>
        <w:lastRenderedPageBreak/>
        <w:t>CONTROLE DE RISCO</w:t>
      </w:r>
      <w:bookmarkEnd w:id="92"/>
      <w:bookmarkEnd w:id="93"/>
      <w:bookmarkEnd w:id="94"/>
    </w:p>
    <w:p w14:paraId="760FC982" w14:textId="1DA56884" w:rsidR="006B0FB7" w:rsidRPr="00297E43" w:rsidRDefault="006B0FB7" w:rsidP="006B0FB7">
      <w:pPr>
        <w:spacing w:beforeLines="120" w:before="288" w:after="0" w:line="240" w:lineRule="auto"/>
        <w:rPr>
          <w:color w:val="auto"/>
        </w:rPr>
      </w:pPr>
      <w:r w:rsidRPr="00297E43">
        <w:rPr>
          <w:bCs/>
          <w:color w:val="auto"/>
          <w:szCs w:val="20"/>
        </w:rPr>
        <w:t>É relevante mencionar que qualquer aplicação financeira est</w:t>
      </w:r>
      <w:r w:rsidR="00C975D9" w:rsidRPr="00297E43">
        <w:rPr>
          <w:bCs/>
          <w:color w:val="auto"/>
          <w:szCs w:val="20"/>
        </w:rPr>
        <w:t>á</w:t>
      </w:r>
      <w:r w:rsidRPr="00297E43">
        <w:rPr>
          <w:bCs/>
          <w:color w:val="auto"/>
          <w:szCs w:val="20"/>
        </w:rPr>
        <w:t xml:space="preserve"> sujeita à incidência de fatores de risco que podem afetar adversamente o seu retorno,</w:t>
      </w:r>
      <w:r w:rsidR="00C975D9" w:rsidRPr="00297E43">
        <w:rPr>
          <w:bCs/>
          <w:color w:val="auto"/>
          <w:szCs w:val="20"/>
        </w:rPr>
        <w:t xml:space="preserve"> e consequentemente, fica 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00C975D9" w:rsidRPr="00297E43">
        <w:rPr>
          <w:color w:val="auto"/>
        </w:rPr>
        <w:t>obrigada a exercer o acompanhamento e o controle sobre esses riscos, considerando</w:t>
      </w:r>
      <w:r w:rsidRPr="00297E43">
        <w:rPr>
          <w:color w:val="auto"/>
        </w:rPr>
        <w:t xml:space="preserve"> entre eles:</w:t>
      </w:r>
    </w:p>
    <w:p w14:paraId="56B27E41" w14:textId="77777777" w:rsidR="006B0FB7" w:rsidRPr="00297E43" w:rsidRDefault="006B0FB7" w:rsidP="006B0FB7">
      <w:pPr>
        <w:numPr>
          <w:ilvl w:val="0"/>
          <w:numId w:val="8"/>
        </w:numPr>
        <w:spacing w:beforeLines="120" w:before="288" w:after="0" w:line="240" w:lineRule="auto"/>
        <w:rPr>
          <w:bCs/>
          <w:color w:val="auto"/>
          <w:szCs w:val="20"/>
        </w:rPr>
      </w:pPr>
      <w:r w:rsidRPr="00297E43">
        <w:rPr>
          <w:b/>
          <w:bCs/>
          <w:color w:val="auto"/>
          <w:szCs w:val="20"/>
        </w:rPr>
        <w:t>Risco de Mercado</w:t>
      </w:r>
      <w:r w:rsidRPr="00297E43">
        <w:rPr>
          <w:bCs/>
          <w:color w:val="auto"/>
          <w:szCs w:val="20"/>
        </w:rPr>
        <w:t xml:space="preserve">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taxa de juros, preços de ações e outros índices. É ligado às oscilações do mercado financeiro.</w:t>
      </w:r>
    </w:p>
    <w:p w14:paraId="6774AE0B" w14:textId="77777777" w:rsidR="009C66AE" w:rsidRPr="00297E43" w:rsidRDefault="006B0FB7" w:rsidP="009C66AE">
      <w:pPr>
        <w:numPr>
          <w:ilvl w:val="0"/>
          <w:numId w:val="8"/>
        </w:numPr>
        <w:spacing w:beforeLines="120" w:before="288" w:after="0" w:line="240" w:lineRule="auto"/>
        <w:rPr>
          <w:bCs/>
          <w:color w:val="auto"/>
          <w:szCs w:val="20"/>
        </w:rPr>
      </w:pPr>
      <w:r w:rsidRPr="00297E43">
        <w:rPr>
          <w:b/>
          <w:bCs/>
          <w:color w:val="auto"/>
          <w:szCs w:val="20"/>
        </w:rPr>
        <w:t>Risco de Crédito</w:t>
      </w:r>
      <w:r w:rsidRPr="00297E43">
        <w:rPr>
          <w:bCs/>
          <w:color w:val="auto"/>
          <w:szCs w:val="20"/>
        </w:rPr>
        <w:t xml:space="preserve"> - também conhecido como risco institucional ou de contraparte, é aquele em que há a possibilidade de o retorno de investimento não ser honrado pela instituição que emitiu determinado título, na data e nas condições negociadas e contratadas;</w:t>
      </w:r>
    </w:p>
    <w:p w14:paraId="3BF88629" w14:textId="77777777" w:rsidR="009C66AE" w:rsidRPr="00297E43" w:rsidRDefault="006B0FB7" w:rsidP="009C66AE">
      <w:pPr>
        <w:numPr>
          <w:ilvl w:val="0"/>
          <w:numId w:val="8"/>
        </w:numPr>
        <w:spacing w:beforeLines="120" w:before="288" w:after="0" w:line="240" w:lineRule="auto"/>
        <w:rPr>
          <w:bCs/>
          <w:color w:val="auto"/>
          <w:szCs w:val="20"/>
        </w:rPr>
      </w:pPr>
      <w:r w:rsidRPr="00297E43">
        <w:rPr>
          <w:b/>
          <w:bCs/>
          <w:color w:val="auto"/>
          <w:szCs w:val="20"/>
        </w:rPr>
        <w:t>Risco de Liquidez</w:t>
      </w:r>
      <w:r w:rsidRPr="00297E43">
        <w:rPr>
          <w:bCs/>
          <w:color w:val="auto"/>
          <w:szCs w:val="20"/>
        </w:rPr>
        <w:t xml:space="preserve">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bookmarkStart w:id="95" w:name="_Toc435189693"/>
      <w:bookmarkStart w:id="96" w:name="_Toc435202751"/>
      <w:bookmarkStart w:id="97" w:name="_Toc490036557"/>
      <w:r w:rsidR="009C66AE" w:rsidRPr="00297E43">
        <w:rPr>
          <w:color w:val="auto"/>
        </w:rPr>
        <w:t>.</w:t>
      </w:r>
    </w:p>
    <w:p w14:paraId="7B916BA5" w14:textId="483FB7F9" w:rsidR="006B0FB7" w:rsidRPr="00297E43" w:rsidRDefault="006B0FB7" w:rsidP="00314466">
      <w:pPr>
        <w:pStyle w:val="Ttulo2"/>
        <w:rPr>
          <w:bCs/>
          <w:color w:val="auto"/>
          <w:szCs w:val="20"/>
        </w:rPr>
      </w:pPr>
      <w:bookmarkStart w:id="98" w:name="_Toc20130609"/>
      <w:r w:rsidRPr="00297E43">
        <w:rPr>
          <w:color w:val="auto"/>
        </w:rPr>
        <w:t>C</w:t>
      </w:r>
      <w:bookmarkEnd w:id="95"/>
      <w:r w:rsidRPr="00297E43">
        <w:rPr>
          <w:color w:val="auto"/>
        </w:rPr>
        <w:t>ONTROLE DO RISCO DE MERCADO</w:t>
      </w:r>
      <w:bookmarkEnd w:id="96"/>
      <w:bookmarkEnd w:id="97"/>
      <w:bookmarkEnd w:id="98"/>
    </w:p>
    <w:p w14:paraId="14DBA536" w14:textId="77777777" w:rsidR="006B0FB7" w:rsidRPr="00297E43" w:rsidRDefault="006B0FB7" w:rsidP="00695F71">
      <w:pPr>
        <w:spacing w:beforeLines="120" w:before="288" w:line="240" w:lineRule="auto"/>
        <w:rPr>
          <w:bCs/>
          <w:color w:val="auto"/>
          <w:szCs w:val="20"/>
        </w:rPr>
      </w:pPr>
      <w:r w:rsidRPr="00297E43">
        <w:rPr>
          <w:bCs/>
          <w:color w:val="auto"/>
          <w:szCs w:val="20"/>
        </w:rPr>
        <w:t xml:space="preserve">O RPPS adota o </w:t>
      </w:r>
      <w:r w:rsidRPr="00297E43">
        <w:rPr>
          <w:b/>
          <w:bCs/>
          <w:color w:val="auto"/>
          <w:szCs w:val="20"/>
        </w:rPr>
        <w:t>VaR - Value-at-Risk</w:t>
      </w:r>
      <w:r w:rsidRPr="00297E43">
        <w:rPr>
          <w:bCs/>
          <w:color w:val="auto"/>
          <w:szCs w:val="20"/>
        </w:rPr>
        <w:t xml:space="preserve"> para controle do risco de mercado, utilizando os seguintes parâmetros para o cálculo do mesmo: </w:t>
      </w:r>
    </w:p>
    <w:p w14:paraId="495DBD4B" w14:textId="77777777" w:rsidR="006B0FB7" w:rsidRPr="00297E43" w:rsidRDefault="006B0FB7" w:rsidP="006B0FB7">
      <w:pPr>
        <w:numPr>
          <w:ilvl w:val="0"/>
          <w:numId w:val="9"/>
        </w:numPr>
        <w:spacing w:beforeLines="120" w:before="288" w:after="0" w:line="240" w:lineRule="auto"/>
        <w:rPr>
          <w:bCs/>
          <w:color w:val="auto"/>
          <w:szCs w:val="20"/>
        </w:rPr>
      </w:pPr>
      <w:r w:rsidRPr="00297E43">
        <w:rPr>
          <w:bCs/>
          <w:color w:val="auto"/>
          <w:szCs w:val="20"/>
        </w:rPr>
        <w:t>Modelo paramétrico;</w:t>
      </w:r>
    </w:p>
    <w:p w14:paraId="2C33B453" w14:textId="77777777" w:rsidR="006B0FB7" w:rsidRPr="00297E43" w:rsidRDefault="006B0FB7" w:rsidP="006B0FB7">
      <w:pPr>
        <w:numPr>
          <w:ilvl w:val="0"/>
          <w:numId w:val="9"/>
        </w:numPr>
        <w:spacing w:beforeLines="120" w:before="288" w:after="0" w:line="240" w:lineRule="auto"/>
        <w:rPr>
          <w:bCs/>
          <w:color w:val="auto"/>
          <w:szCs w:val="20"/>
        </w:rPr>
      </w:pPr>
      <w:r w:rsidRPr="00297E43">
        <w:rPr>
          <w:bCs/>
          <w:color w:val="auto"/>
          <w:szCs w:val="20"/>
        </w:rPr>
        <w:t>Intervalo de confiança de 95% (noventa e cinco por cento);</w:t>
      </w:r>
    </w:p>
    <w:p w14:paraId="569991F8" w14:textId="77777777" w:rsidR="006B0FB7" w:rsidRPr="00297E43" w:rsidRDefault="006B0FB7" w:rsidP="006B0FB7">
      <w:pPr>
        <w:numPr>
          <w:ilvl w:val="0"/>
          <w:numId w:val="9"/>
        </w:numPr>
        <w:spacing w:beforeLines="120" w:before="288" w:after="0" w:line="240" w:lineRule="auto"/>
        <w:rPr>
          <w:bCs/>
          <w:color w:val="auto"/>
          <w:szCs w:val="20"/>
        </w:rPr>
      </w:pPr>
      <w:r w:rsidRPr="00297E43">
        <w:rPr>
          <w:bCs/>
          <w:color w:val="auto"/>
          <w:szCs w:val="20"/>
        </w:rPr>
        <w:t>Horizonte temporal de 21 dias úteis.</w:t>
      </w:r>
    </w:p>
    <w:p w14:paraId="5C81AB50" w14:textId="77777777" w:rsidR="006B0FB7" w:rsidRPr="00297E43" w:rsidRDefault="006B0FB7" w:rsidP="006B0FB7">
      <w:pPr>
        <w:spacing w:beforeLines="120" w:before="288" w:after="0" w:line="240" w:lineRule="auto"/>
        <w:rPr>
          <w:bCs/>
          <w:color w:val="auto"/>
          <w:szCs w:val="20"/>
        </w:rPr>
      </w:pPr>
      <w:r w:rsidRPr="00297E43">
        <w:rPr>
          <w:bCs/>
          <w:color w:val="auto"/>
          <w:szCs w:val="20"/>
        </w:rPr>
        <w:t>Como parâmetro de monitoramento para controle do risco de mercado dos ativos que compõe a carteira, os membros do Comitê de Investimentos deverão observar as referências abaixo estabelecidas e realizar reavaliação destes ativos sempre que as referências pré-estabelecidas forem ultrapassadas.</w:t>
      </w:r>
    </w:p>
    <w:p w14:paraId="7595FC31" w14:textId="575F2D51" w:rsidR="006B0FB7" w:rsidRPr="00297E43" w:rsidRDefault="000E1CEA" w:rsidP="006B0FB7">
      <w:pPr>
        <w:numPr>
          <w:ilvl w:val="0"/>
          <w:numId w:val="9"/>
        </w:numPr>
        <w:spacing w:beforeLines="120" w:before="288" w:after="0" w:line="240" w:lineRule="auto"/>
        <w:rPr>
          <w:bCs/>
          <w:color w:val="auto"/>
          <w:szCs w:val="20"/>
        </w:rPr>
      </w:pPr>
      <w:r w:rsidRPr="00297E43">
        <w:rPr>
          <w:bCs/>
          <w:color w:val="auto"/>
          <w:szCs w:val="20"/>
        </w:rPr>
        <w:t xml:space="preserve">Segmento de Renda Fixa: </w:t>
      </w:r>
      <w:r w:rsidR="006B7D77" w:rsidRPr="00297E43">
        <w:rPr>
          <w:b/>
          <w:bCs/>
          <w:color w:val="auto"/>
          <w:szCs w:val="20"/>
        </w:rPr>
        <w:t>2,30</w:t>
      </w:r>
      <w:r w:rsidR="000740D8" w:rsidRPr="00297E43">
        <w:rPr>
          <w:b/>
          <w:bCs/>
          <w:color w:val="auto"/>
          <w:szCs w:val="20"/>
        </w:rPr>
        <w:t>% (</w:t>
      </w:r>
      <w:r w:rsidR="006B7D77" w:rsidRPr="00297E43">
        <w:rPr>
          <w:b/>
          <w:bCs/>
          <w:color w:val="auto"/>
          <w:szCs w:val="20"/>
        </w:rPr>
        <w:t>dois, trinta por cento</w:t>
      </w:r>
      <w:r w:rsidR="000740D8" w:rsidRPr="00297E43">
        <w:rPr>
          <w:b/>
          <w:bCs/>
          <w:color w:val="auto"/>
          <w:szCs w:val="20"/>
        </w:rPr>
        <w:t>)</w:t>
      </w:r>
      <w:r w:rsidR="000740D8" w:rsidRPr="00297E43">
        <w:rPr>
          <w:bCs/>
          <w:color w:val="auto"/>
          <w:szCs w:val="20"/>
        </w:rPr>
        <w:t xml:space="preserve"> </w:t>
      </w:r>
      <w:r w:rsidR="006B0FB7" w:rsidRPr="00297E43">
        <w:rPr>
          <w:bCs/>
          <w:color w:val="auto"/>
          <w:szCs w:val="20"/>
        </w:rPr>
        <w:t>do valor alocado neste segmento.</w:t>
      </w:r>
    </w:p>
    <w:p w14:paraId="15F8E5BB" w14:textId="4AE85D9F" w:rsidR="006B0FB7" w:rsidRPr="00297E43" w:rsidRDefault="006B0FB7" w:rsidP="006B0FB7">
      <w:pPr>
        <w:numPr>
          <w:ilvl w:val="0"/>
          <w:numId w:val="9"/>
        </w:numPr>
        <w:spacing w:beforeLines="120" w:before="288" w:after="0" w:line="240" w:lineRule="auto"/>
        <w:rPr>
          <w:bCs/>
          <w:color w:val="auto"/>
          <w:szCs w:val="20"/>
        </w:rPr>
      </w:pPr>
      <w:r w:rsidRPr="00297E43">
        <w:rPr>
          <w:bCs/>
          <w:color w:val="auto"/>
          <w:szCs w:val="20"/>
        </w:rPr>
        <w:t>Segment</w:t>
      </w:r>
      <w:r w:rsidR="000E1CEA" w:rsidRPr="00297E43">
        <w:rPr>
          <w:bCs/>
          <w:color w:val="auto"/>
          <w:szCs w:val="20"/>
        </w:rPr>
        <w:t xml:space="preserve">o de Renda Variável: </w:t>
      </w:r>
      <w:r w:rsidR="006B7D77" w:rsidRPr="00297E43">
        <w:rPr>
          <w:b/>
          <w:bCs/>
          <w:color w:val="auto"/>
          <w:szCs w:val="20"/>
        </w:rPr>
        <w:t>6,13</w:t>
      </w:r>
      <w:r w:rsidR="000740D8" w:rsidRPr="00297E43">
        <w:rPr>
          <w:b/>
          <w:bCs/>
          <w:color w:val="auto"/>
          <w:szCs w:val="20"/>
        </w:rPr>
        <w:t>% (</w:t>
      </w:r>
      <w:r w:rsidR="006B7D77" w:rsidRPr="00297E43">
        <w:rPr>
          <w:b/>
          <w:bCs/>
          <w:color w:val="auto"/>
          <w:szCs w:val="20"/>
        </w:rPr>
        <w:t>seis, treze por cento</w:t>
      </w:r>
      <w:r w:rsidR="000740D8" w:rsidRPr="00297E43">
        <w:rPr>
          <w:b/>
          <w:bCs/>
          <w:color w:val="auto"/>
          <w:szCs w:val="20"/>
        </w:rPr>
        <w:t>)</w:t>
      </w:r>
      <w:r w:rsidR="000740D8" w:rsidRPr="00297E43">
        <w:rPr>
          <w:bCs/>
          <w:color w:val="auto"/>
          <w:szCs w:val="20"/>
        </w:rPr>
        <w:t xml:space="preserve"> </w:t>
      </w:r>
      <w:r w:rsidRPr="00297E43">
        <w:rPr>
          <w:bCs/>
          <w:color w:val="auto"/>
          <w:szCs w:val="20"/>
        </w:rPr>
        <w:t>do valor alocado neste segmento.</w:t>
      </w:r>
    </w:p>
    <w:p w14:paraId="0891E937" w14:textId="380143DE" w:rsidR="006B0FB7" w:rsidRPr="00297E43" w:rsidRDefault="006B0FB7" w:rsidP="00695F71">
      <w:pPr>
        <w:spacing w:beforeLines="120" w:before="288" w:line="240" w:lineRule="auto"/>
        <w:rPr>
          <w:bCs/>
          <w:color w:val="auto"/>
          <w:szCs w:val="20"/>
        </w:rPr>
      </w:pPr>
      <w:r w:rsidRPr="00297E43">
        <w:rPr>
          <w:bCs/>
          <w:color w:val="auto"/>
          <w:szCs w:val="20"/>
        </w:rPr>
        <w:t xml:space="preserve">Como instrumento adicional de controle, o RPPS monitora a rentabilidade do fundo em janelas temporais (mês, ano, três meses, seis meses, doze meses e vinte e quatro meses), verificando o alinhamento com o “benchmark” </w:t>
      </w:r>
      <w:r w:rsidR="005444FB" w:rsidRPr="00297E43">
        <w:rPr>
          <w:bCs/>
          <w:color w:val="auto"/>
          <w:szCs w:val="20"/>
        </w:rPr>
        <w:t xml:space="preserve">de cada ativo. </w:t>
      </w:r>
      <w:r w:rsidRPr="00297E43">
        <w:rPr>
          <w:bCs/>
          <w:color w:val="auto"/>
          <w:szCs w:val="20"/>
        </w:rPr>
        <w:t>Desvios significativos deverão ser avaliados pelos membros do Comitê de Investimentos do RPPS, que decidirá pela manutenção, ou não, do investimento.</w:t>
      </w:r>
    </w:p>
    <w:p w14:paraId="60AC91E2" w14:textId="77777777" w:rsidR="006B0FB7" w:rsidRPr="00297E43" w:rsidRDefault="006B0FB7" w:rsidP="00314466">
      <w:pPr>
        <w:pStyle w:val="Ttulo2"/>
        <w:rPr>
          <w:color w:val="auto"/>
        </w:rPr>
      </w:pPr>
      <w:bookmarkStart w:id="99" w:name="_Toc435202752"/>
      <w:bookmarkStart w:id="100" w:name="_Toc490036558"/>
      <w:bookmarkStart w:id="101" w:name="_Toc20130610"/>
      <w:r w:rsidRPr="00297E43">
        <w:rPr>
          <w:color w:val="auto"/>
        </w:rPr>
        <w:t>CONTROLE DO RISCO DE CRÉDITO</w:t>
      </w:r>
      <w:bookmarkEnd w:id="99"/>
      <w:bookmarkEnd w:id="100"/>
      <w:bookmarkEnd w:id="101"/>
    </w:p>
    <w:p w14:paraId="57658010" w14:textId="77777777" w:rsidR="009E30C1" w:rsidRPr="00297E43" w:rsidRDefault="006B0FB7" w:rsidP="00695F71">
      <w:pPr>
        <w:spacing w:beforeLines="120" w:before="288" w:line="240" w:lineRule="auto"/>
        <w:rPr>
          <w:bCs/>
          <w:color w:val="auto"/>
          <w:szCs w:val="20"/>
        </w:rPr>
      </w:pPr>
      <w:r w:rsidRPr="00297E43">
        <w:rPr>
          <w:bCs/>
          <w:color w:val="auto"/>
          <w:szCs w:val="20"/>
        </w:rPr>
        <w:t>Na hipótese de aplicação de re</w:t>
      </w:r>
      <w:r w:rsidR="009E30C1" w:rsidRPr="00297E43">
        <w:rPr>
          <w:bCs/>
          <w:color w:val="auto"/>
          <w:szCs w:val="20"/>
        </w:rPr>
        <w:t>cursos financeiros do RPPS, em fundos de investimento</w:t>
      </w:r>
      <w:r w:rsidRPr="00297E43">
        <w:rPr>
          <w:bCs/>
          <w:color w:val="auto"/>
          <w:szCs w:val="20"/>
        </w:rPr>
        <w:t xml:space="preserve"> </w:t>
      </w:r>
      <w:r w:rsidR="009E30C1" w:rsidRPr="00297E43">
        <w:rPr>
          <w:bCs/>
          <w:color w:val="auto"/>
          <w:szCs w:val="20"/>
        </w:rPr>
        <w:t xml:space="preserve">que possuem em sua carteira de investimentos ativos de crédito, subordinam-se que estes </w:t>
      </w:r>
      <w:r w:rsidR="003F6107" w:rsidRPr="00297E43">
        <w:rPr>
          <w:bCs/>
          <w:color w:val="auto"/>
          <w:szCs w:val="20"/>
        </w:rPr>
        <w:t xml:space="preserve">sejam emitidas por companhias abertas devidamente operacionais e registrada; e que </w:t>
      </w:r>
      <w:r w:rsidR="009E30C1" w:rsidRPr="00297E43">
        <w:rPr>
          <w:bCs/>
          <w:color w:val="auto"/>
          <w:szCs w:val="20"/>
        </w:rPr>
        <w:t xml:space="preserve">sejam de baixo risco em classificação efetuada por </w:t>
      </w:r>
      <w:r w:rsidR="003F6107" w:rsidRPr="00297E43">
        <w:rPr>
          <w:bCs/>
          <w:color w:val="auto"/>
          <w:szCs w:val="20"/>
        </w:rPr>
        <w:t>agência classificadora de risco, o que estiverem de acordo com a tabela abaixo:</w:t>
      </w:r>
    </w:p>
    <w:p w14:paraId="6BEED468" w14:textId="77777777" w:rsidR="008815C6" w:rsidRPr="00297E43" w:rsidRDefault="008815C6" w:rsidP="008815C6">
      <w:pPr>
        <w:spacing w:beforeLines="120" w:before="288" w:line="240" w:lineRule="auto"/>
        <w:jc w:val="center"/>
        <w:rPr>
          <w:bCs/>
          <w:color w:val="auto"/>
          <w:szCs w:val="20"/>
        </w:rPr>
      </w:pPr>
      <w:r w:rsidRPr="00297E43">
        <w:rPr>
          <w:b/>
          <w:bCs/>
          <w:noProof/>
          <w:color w:val="auto"/>
          <w:szCs w:val="20"/>
          <w:lang w:eastAsia="pt-BR"/>
        </w:rPr>
        <w:lastRenderedPageBreak/>
        <w:drawing>
          <wp:inline distT="0" distB="0" distL="0" distR="0" wp14:anchorId="2EADF953" wp14:editId="6342BAA5">
            <wp:extent cx="3600000" cy="926888"/>
            <wp:effectExtent l="0" t="0" r="635"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926888"/>
                    </a:xfrm>
                    <a:prstGeom prst="rect">
                      <a:avLst/>
                    </a:prstGeom>
                    <a:noFill/>
                    <a:ln>
                      <a:noFill/>
                    </a:ln>
                  </pic:spPr>
                </pic:pic>
              </a:graphicData>
            </a:graphic>
          </wp:inline>
        </w:drawing>
      </w:r>
    </w:p>
    <w:p w14:paraId="44577784" w14:textId="23955AF7" w:rsidR="006B0FB7" w:rsidRPr="00297E43" w:rsidRDefault="006B0FB7" w:rsidP="00695F71">
      <w:pPr>
        <w:spacing w:beforeLines="120" w:before="288" w:line="240" w:lineRule="auto"/>
        <w:rPr>
          <w:bCs/>
          <w:color w:val="auto"/>
          <w:szCs w:val="20"/>
        </w:rPr>
      </w:pPr>
      <w:r w:rsidRPr="00297E43">
        <w:rPr>
          <w:bCs/>
          <w:color w:val="auto"/>
          <w:szCs w:val="20"/>
        </w:rPr>
        <w:t xml:space="preserve">As agências classificadoras de risco supracitadas estão devidamente </w:t>
      </w:r>
      <w:r w:rsidR="009E30C1" w:rsidRPr="00297E43">
        <w:rPr>
          <w:bCs/>
          <w:color w:val="auto"/>
          <w:szCs w:val="20"/>
        </w:rPr>
        <w:t>registradas</w:t>
      </w:r>
      <w:r w:rsidR="00527DA1" w:rsidRPr="00297E43">
        <w:rPr>
          <w:bCs/>
          <w:color w:val="auto"/>
          <w:szCs w:val="20"/>
        </w:rPr>
        <w:t xml:space="preserve"> na CVM e</w:t>
      </w:r>
      <w:r w:rsidR="009E30C1" w:rsidRPr="00297E43">
        <w:rPr>
          <w:bCs/>
          <w:color w:val="auto"/>
          <w:szCs w:val="20"/>
        </w:rPr>
        <w:t xml:space="preserve"> </w:t>
      </w:r>
      <w:r w:rsidRPr="00297E43">
        <w:rPr>
          <w:bCs/>
          <w:color w:val="auto"/>
          <w:szCs w:val="20"/>
        </w:rPr>
        <w:t xml:space="preserve">autorizadas a operar no Brasil e utilizam o sistema de “rating” para classificar o nível de risco </w:t>
      </w:r>
      <w:r w:rsidR="000A5C64" w:rsidRPr="00297E43">
        <w:rPr>
          <w:bCs/>
          <w:color w:val="auto"/>
          <w:szCs w:val="20"/>
        </w:rPr>
        <w:t>da</w:t>
      </w:r>
      <w:r w:rsidRPr="00297E43">
        <w:rPr>
          <w:bCs/>
          <w:color w:val="auto"/>
          <w:szCs w:val="20"/>
        </w:rPr>
        <w:t xml:space="preserve"> instituição, fundo de investimentos e dos ativos integrantes de sua carteira.</w:t>
      </w:r>
    </w:p>
    <w:p w14:paraId="6A90E5C8" w14:textId="77777777" w:rsidR="006B0FB7" w:rsidRPr="00297E43" w:rsidRDefault="006B0FB7" w:rsidP="00314466">
      <w:pPr>
        <w:pStyle w:val="Ttulo2"/>
        <w:rPr>
          <w:color w:val="auto"/>
        </w:rPr>
      </w:pPr>
      <w:bookmarkStart w:id="102" w:name="_Toc435189695"/>
      <w:bookmarkStart w:id="103" w:name="_Toc435202753"/>
      <w:bookmarkStart w:id="104" w:name="_Toc490036559"/>
      <w:bookmarkStart w:id="105" w:name="_Toc20130611"/>
      <w:r w:rsidRPr="00297E43">
        <w:rPr>
          <w:color w:val="auto"/>
        </w:rPr>
        <w:t xml:space="preserve">CONTROLE DO RISCO DE </w:t>
      </w:r>
      <w:bookmarkEnd w:id="102"/>
      <w:r w:rsidRPr="00297E43">
        <w:rPr>
          <w:color w:val="auto"/>
        </w:rPr>
        <w:t>LIQUIDEZ</w:t>
      </w:r>
      <w:bookmarkEnd w:id="103"/>
      <w:bookmarkEnd w:id="104"/>
      <w:bookmarkEnd w:id="105"/>
      <w:r w:rsidRPr="00297E43">
        <w:rPr>
          <w:color w:val="auto"/>
        </w:rPr>
        <w:t xml:space="preserve"> </w:t>
      </w:r>
    </w:p>
    <w:p w14:paraId="53CC19E6" w14:textId="6E624742" w:rsidR="006B0FB7" w:rsidRPr="00297E43" w:rsidRDefault="006B0FB7" w:rsidP="006B0FB7">
      <w:pPr>
        <w:spacing w:beforeLines="120" w:before="288" w:after="0" w:line="240" w:lineRule="auto"/>
        <w:rPr>
          <w:bCs/>
          <w:color w:val="auto"/>
          <w:szCs w:val="20"/>
        </w:rPr>
      </w:pPr>
      <w:r w:rsidRPr="00297E43">
        <w:rPr>
          <w:bCs/>
          <w:color w:val="auto"/>
          <w:szCs w:val="20"/>
        </w:rPr>
        <w:t xml:space="preserve">Nas aplicações em fundos de investimentos constituídos sob a forma de condomínio fechado, e nas aplicações cuja soma do prazo de carência (se houver) acrescido ao prazo de conversão de cotas ultrapassarem em 365 dias, a aprovação do investimento deverá ser precedida de </w:t>
      </w:r>
      <w:r w:rsidR="00702E1B" w:rsidRPr="00297E43">
        <w:rPr>
          <w:bCs/>
          <w:color w:val="auto"/>
          <w:szCs w:val="20"/>
        </w:rPr>
        <w:t xml:space="preserve">atestado que comprova a </w:t>
      </w:r>
      <w:r w:rsidRPr="00297E43">
        <w:rPr>
          <w:bCs/>
          <w:color w:val="auto"/>
          <w:szCs w:val="20"/>
        </w:rPr>
        <w:t xml:space="preserve">análise </w:t>
      </w:r>
      <w:r w:rsidR="00702E1B" w:rsidRPr="00297E43">
        <w:rPr>
          <w:bCs/>
          <w:color w:val="auto"/>
          <w:szCs w:val="20"/>
        </w:rPr>
        <w:t xml:space="preserve">de evidenciação quanto </w:t>
      </w:r>
      <w:r w:rsidRPr="00297E43">
        <w:rPr>
          <w:bCs/>
          <w:color w:val="auto"/>
          <w:szCs w:val="20"/>
        </w:rPr>
        <w:t>a capacidade do RPPS em arcar com o fluxo de despesas necessárias ao cumprimento de suas obrigações atuariais, até a data da disponibilização dos recursos investidos.</w:t>
      </w:r>
    </w:p>
    <w:p w14:paraId="580A6A24" w14:textId="77777777" w:rsidR="008815C6" w:rsidRPr="00297E43" w:rsidRDefault="008815C6">
      <w:pPr>
        <w:rPr>
          <w:bCs/>
          <w:color w:val="auto"/>
          <w:szCs w:val="20"/>
        </w:rPr>
      </w:pPr>
      <w:r w:rsidRPr="00297E43">
        <w:rPr>
          <w:bCs/>
          <w:color w:val="auto"/>
          <w:szCs w:val="20"/>
        </w:rPr>
        <w:br w:type="page"/>
      </w:r>
    </w:p>
    <w:p w14:paraId="2296BBE6" w14:textId="77777777" w:rsidR="006B0FB7" w:rsidRPr="00297E43" w:rsidRDefault="006B0FB7" w:rsidP="00695F71">
      <w:pPr>
        <w:pStyle w:val="Ttulo1"/>
        <w:rPr>
          <w:color w:val="auto"/>
        </w:rPr>
      </w:pPr>
      <w:bookmarkStart w:id="106" w:name="_Toc435189696"/>
      <w:bookmarkStart w:id="107" w:name="_Toc435202754"/>
      <w:bookmarkStart w:id="108" w:name="_Toc490036560"/>
      <w:bookmarkStart w:id="109" w:name="_Toc20130612"/>
      <w:r w:rsidRPr="00297E43">
        <w:rPr>
          <w:color w:val="auto"/>
        </w:rPr>
        <w:lastRenderedPageBreak/>
        <w:t>P</w:t>
      </w:r>
      <w:bookmarkEnd w:id="106"/>
      <w:r w:rsidRPr="00297E43">
        <w:rPr>
          <w:color w:val="auto"/>
        </w:rPr>
        <w:t>OLÍTICA DE TRANSPARÊNCIA</w:t>
      </w:r>
      <w:bookmarkEnd w:id="107"/>
      <w:bookmarkEnd w:id="108"/>
      <w:bookmarkEnd w:id="109"/>
    </w:p>
    <w:p w14:paraId="0BB331B6" w14:textId="4B54B420" w:rsidR="006B0FB7" w:rsidRPr="00297E43" w:rsidRDefault="006B0FB7" w:rsidP="006B0FB7">
      <w:pPr>
        <w:spacing w:beforeLines="120" w:before="288" w:after="0" w:line="240" w:lineRule="auto"/>
        <w:rPr>
          <w:bCs/>
          <w:color w:val="auto"/>
          <w:szCs w:val="20"/>
        </w:rPr>
      </w:pPr>
      <w:r w:rsidRPr="00297E43">
        <w:rPr>
          <w:bCs/>
          <w:color w:val="auto"/>
          <w:szCs w:val="20"/>
        </w:rPr>
        <w:t xml:space="preserve">As informações contidas na Política de Investimentos e em suas revisões deverão ser disponibilizadas aos interessados, no prazo de trinta dias, contados de sua aprovação, observados os critérios estabelecidos pelo Ministério da </w:t>
      </w:r>
      <w:r w:rsidR="007C2C43" w:rsidRPr="00297E43">
        <w:rPr>
          <w:bCs/>
          <w:color w:val="auto"/>
          <w:szCs w:val="20"/>
        </w:rPr>
        <w:t>Economia</w:t>
      </w:r>
      <w:r w:rsidRPr="00297E43">
        <w:rPr>
          <w:bCs/>
          <w:color w:val="auto"/>
          <w:szCs w:val="20"/>
        </w:rPr>
        <w:t>, Secretária de Previdência Social. À vista da exigência contida no art. 4º, incisos I, II, III</w:t>
      </w:r>
      <w:r w:rsidR="00E51512" w:rsidRPr="00297E43">
        <w:rPr>
          <w:bCs/>
          <w:color w:val="auto"/>
          <w:szCs w:val="20"/>
        </w:rPr>
        <w:t xml:space="preserve">, </w:t>
      </w:r>
      <w:r w:rsidRPr="00297E43">
        <w:rPr>
          <w:bCs/>
          <w:color w:val="auto"/>
          <w:szCs w:val="20"/>
        </w:rPr>
        <w:t xml:space="preserve">IV e </w:t>
      </w:r>
      <w:r w:rsidR="00E51512" w:rsidRPr="00297E43">
        <w:rPr>
          <w:bCs/>
          <w:color w:val="auto"/>
          <w:szCs w:val="20"/>
        </w:rPr>
        <w:t>V</w:t>
      </w:r>
      <w:r w:rsidRPr="00297E43">
        <w:rPr>
          <w:bCs/>
          <w:color w:val="auto"/>
          <w:szCs w:val="20"/>
        </w:rPr>
        <w:t>, parágrafo primeiro e segundo e ainda, art. 5º da Resolução CMN nº 3.922/2010, a Política de Investimentos deverá ser disponibilizada no site do RPPS, Diário Oficial do Município ou em local de fácil acesso e visualização, sem prejuízo de outros canais oficiais de comunicação.</w:t>
      </w:r>
    </w:p>
    <w:p w14:paraId="48769245" w14:textId="4EEC6500" w:rsidR="007C2C43" w:rsidRPr="00297E43" w:rsidRDefault="007C2C43" w:rsidP="006B0FB7">
      <w:pPr>
        <w:spacing w:beforeLines="120" w:before="288" w:after="0" w:line="240" w:lineRule="auto"/>
        <w:rPr>
          <w:bCs/>
          <w:color w:val="auto"/>
          <w:szCs w:val="20"/>
        </w:rPr>
      </w:pPr>
      <w:r w:rsidRPr="00297E43">
        <w:rPr>
          <w:bCs/>
          <w:color w:val="auto"/>
          <w:szCs w:val="20"/>
        </w:rPr>
        <w:t>Todos e demais documentos correspondentes a análise, avaliação, gerenciamento, assessoramento e decisão, deverão ser disponibilizados via Portar de Transparência de própria autoria ou na melhor qualidade de disponibilização aos interessados.</w:t>
      </w:r>
    </w:p>
    <w:p w14:paraId="7486CDB5" w14:textId="77777777" w:rsidR="008815C6" w:rsidRPr="00297E43" w:rsidRDefault="008815C6">
      <w:pPr>
        <w:rPr>
          <w:bCs/>
          <w:color w:val="auto"/>
          <w:szCs w:val="20"/>
        </w:rPr>
      </w:pPr>
      <w:r w:rsidRPr="00297E43">
        <w:rPr>
          <w:bCs/>
          <w:color w:val="auto"/>
          <w:szCs w:val="20"/>
        </w:rPr>
        <w:br w:type="page"/>
      </w:r>
    </w:p>
    <w:p w14:paraId="728E9A9A" w14:textId="0B8F00ED" w:rsidR="006B0FB7" w:rsidRPr="00297E43" w:rsidRDefault="006B0FB7" w:rsidP="00695F71">
      <w:pPr>
        <w:pStyle w:val="Ttulo1"/>
        <w:rPr>
          <w:color w:val="auto"/>
        </w:rPr>
      </w:pPr>
      <w:bookmarkStart w:id="110" w:name="_Toc435189697"/>
      <w:bookmarkStart w:id="111" w:name="_Toc435202755"/>
      <w:bookmarkStart w:id="112" w:name="_Toc490036561"/>
      <w:r w:rsidRPr="00297E43">
        <w:rPr>
          <w:color w:val="auto"/>
        </w:rPr>
        <w:lastRenderedPageBreak/>
        <w:t xml:space="preserve"> </w:t>
      </w:r>
      <w:bookmarkStart w:id="113" w:name="_Toc20130613"/>
      <w:r w:rsidRPr="00297E43">
        <w:rPr>
          <w:color w:val="auto"/>
        </w:rPr>
        <w:t>CREDENCIAMENTO</w:t>
      </w:r>
      <w:bookmarkEnd w:id="110"/>
      <w:bookmarkEnd w:id="111"/>
      <w:bookmarkEnd w:id="112"/>
      <w:bookmarkEnd w:id="113"/>
    </w:p>
    <w:p w14:paraId="63CDFDE7" w14:textId="4A8DAEC6" w:rsidR="006B0FB7" w:rsidRPr="00297E43" w:rsidRDefault="006B0FB7" w:rsidP="006B0FB7">
      <w:pPr>
        <w:spacing w:beforeLines="120" w:before="288" w:after="0" w:line="240" w:lineRule="auto"/>
        <w:rPr>
          <w:bCs/>
          <w:color w:val="auto"/>
          <w:szCs w:val="20"/>
        </w:rPr>
      </w:pPr>
      <w:r w:rsidRPr="00297E43">
        <w:rPr>
          <w:bCs/>
          <w:color w:val="auto"/>
          <w:szCs w:val="20"/>
        </w:rPr>
        <w:t>Seguindo a Portaria MPS nº 519, de 24 de agosto de 2011</w:t>
      </w:r>
      <w:r w:rsidR="007A6621" w:rsidRPr="00297E43">
        <w:rPr>
          <w:bCs/>
          <w:color w:val="auto"/>
          <w:szCs w:val="20"/>
        </w:rPr>
        <w:t xml:space="preserve"> e a Resolução CMN n° 3.922/2010</w:t>
      </w:r>
      <w:r w:rsidRPr="00297E43">
        <w:rPr>
          <w:bCs/>
          <w:color w:val="auto"/>
          <w:szCs w:val="20"/>
        </w:rPr>
        <w:t xml:space="preserve">, antes da realização de qualquer operação, o RPPS, na figura de seu Comitê de Investimentos, deverá assegurar que as instituições financeiras escolhidas para receber </w:t>
      </w:r>
      <w:r w:rsidR="00230737" w:rsidRPr="00297E43">
        <w:rPr>
          <w:bCs/>
          <w:color w:val="auto"/>
          <w:szCs w:val="20"/>
        </w:rPr>
        <w:t>os recursos do RPPS</w:t>
      </w:r>
      <w:r w:rsidRPr="00297E43">
        <w:rPr>
          <w:bCs/>
          <w:color w:val="auto"/>
          <w:szCs w:val="20"/>
        </w:rPr>
        <w:t xml:space="preserve"> tenham sido objeto de prévio credenciamento.</w:t>
      </w:r>
    </w:p>
    <w:p w14:paraId="72BB80D2" w14:textId="66CA75A7" w:rsidR="00230737" w:rsidRPr="00297E43" w:rsidRDefault="00230737" w:rsidP="006B0FB7">
      <w:pPr>
        <w:spacing w:beforeLines="120" w:before="288" w:after="0" w:line="240" w:lineRule="auto"/>
        <w:rPr>
          <w:color w:val="auto"/>
        </w:rPr>
      </w:pPr>
      <w:r w:rsidRPr="00297E43">
        <w:rPr>
          <w:bCs/>
          <w:color w:val="auto"/>
          <w:szCs w:val="20"/>
        </w:rPr>
        <w:t xml:space="preserve">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Pr="00297E43">
        <w:rPr>
          <w:color w:val="auto"/>
        </w:rPr>
        <w:t xml:space="preserve">através de seu Edital de Credenciamento, </w:t>
      </w:r>
      <w:r w:rsidR="004C081F" w:rsidRPr="00297E43">
        <w:rPr>
          <w:color w:val="auto"/>
        </w:rPr>
        <w:t>deverá cumprir</w:t>
      </w:r>
      <w:r w:rsidRPr="00297E43">
        <w:rPr>
          <w:color w:val="auto"/>
        </w:rPr>
        <w:t xml:space="preserve"> integralmente todos os requisitos mínimos de credenciamento em atendimento as normativas</w:t>
      </w:r>
      <w:r w:rsidR="004C081F" w:rsidRPr="00297E43">
        <w:rPr>
          <w:color w:val="auto"/>
        </w:rPr>
        <w:t xml:space="preserve"> mencionadas e,</w:t>
      </w:r>
      <w:r w:rsidRPr="00297E43">
        <w:rPr>
          <w:color w:val="auto"/>
        </w:rPr>
        <w:t xml:space="preserve"> inclusive:</w:t>
      </w:r>
    </w:p>
    <w:p w14:paraId="30B90E06" w14:textId="3D13732A" w:rsidR="00230737" w:rsidRPr="00297E43" w:rsidRDefault="00230737" w:rsidP="00BF5125">
      <w:pPr>
        <w:pStyle w:val="PargrafodaLista"/>
        <w:numPr>
          <w:ilvl w:val="0"/>
          <w:numId w:val="36"/>
        </w:numPr>
        <w:spacing w:beforeLines="120" w:before="288" w:after="0" w:line="240" w:lineRule="auto"/>
        <w:rPr>
          <w:bCs/>
          <w:color w:val="auto"/>
          <w:szCs w:val="20"/>
        </w:rPr>
      </w:pPr>
      <w:r w:rsidRPr="00297E43">
        <w:rPr>
          <w:bCs/>
          <w:color w:val="auto"/>
          <w:szCs w:val="20"/>
        </w:rPr>
        <w:t>Termo de Análise e Atestado de Credenciamento de Administrator e Gestor de FI – Art. 15°, § 2°, I, da Resolução CMN n° 3.922/2010;</w:t>
      </w:r>
    </w:p>
    <w:p w14:paraId="7608723D" w14:textId="77777777" w:rsidR="00230737" w:rsidRPr="00297E43" w:rsidRDefault="00230737" w:rsidP="00BF5125">
      <w:pPr>
        <w:pStyle w:val="PargrafodaLista"/>
        <w:spacing w:beforeLines="120" w:before="288" w:after="0" w:line="240" w:lineRule="auto"/>
        <w:rPr>
          <w:bCs/>
          <w:color w:val="auto"/>
          <w:szCs w:val="20"/>
        </w:rPr>
      </w:pPr>
    </w:p>
    <w:p w14:paraId="27C33BC2" w14:textId="124C0743" w:rsidR="00230737" w:rsidRPr="00297E43" w:rsidRDefault="00230737" w:rsidP="00BF5125">
      <w:pPr>
        <w:pStyle w:val="PargrafodaLista"/>
        <w:numPr>
          <w:ilvl w:val="0"/>
          <w:numId w:val="36"/>
        </w:numPr>
        <w:spacing w:beforeLines="120" w:before="288" w:after="0" w:line="240" w:lineRule="auto"/>
        <w:rPr>
          <w:bCs/>
          <w:color w:val="auto"/>
          <w:szCs w:val="20"/>
        </w:rPr>
      </w:pPr>
      <w:r w:rsidRPr="00297E43">
        <w:rPr>
          <w:color w:val="auto"/>
        </w:rPr>
        <w:t>Termo de Análise de Credenciamento e Atestado de Credenciamento – Demais Administradores</w:t>
      </w:r>
      <w:r w:rsidRPr="00297E43">
        <w:rPr>
          <w:bCs/>
          <w:color w:val="auto"/>
          <w:szCs w:val="20"/>
        </w:rPr>
        <w:t xml:space="preserve"> ou Gestor de FI;</w:t>
      </w:r>
    </w:p>
    <w:p w14:paraId="0D16AC0C" w14:textId="77777777" w:rsidR="00230737" w:rsidRPr="00297E43" w:rsidRDefault="00230737" w:rsidP="00BF5125">
      <w:pPr>
        <w:pStyle w:val="PargrafodaLista"/>
        <w:rPr>
          <w:bCs/>
          <w:color w:val="auto"/>
          <w:szCs w:val="20"/>
        </w:rPr>
      </w:pPr>
    </w:p>
    <w:p w14:paraId="09BF5B1A" w14:textId="26027DA1" w:rsidR="00230737" w:rsidRPr="00297E43" w:rsidRDefault="00230737" w:rsidP="00BF5125">
      <w:pPr>
        <w:pStyle w:val="PargrafodaLista"/>
        <w:numPr>
          <w:ilvl w:val="0"/>
          <w:numId w:val="36"/>
        </w:numPr>
        <w:spacing w:beforeLines="120" w:before="288" w:after="0" w:line="240" w:lineRule="auto"/>
        <w:rPr>
          <w:bCs/>
          <w:color w:val="auto"/>
          <w:szCs w:val="20"/>
        </w:rPr>
      </w:pPr>
      <w:r w:rsidRPr="00297E43">
        <w:rPr>
          <w:color w:val="auto"/>
        </w:rPr>
        <w:t>Anexo ao Credenciamento – Análise de Fundo de Investimento</w:t>
      </w:r>
      <w:r w:rsidR="004C081F" w:rsidRPr="00297E43">
        <w:rPr>
          <w:bCs/>
          <w:color w:val="auto"/>
          <w:szCs w:val="20"/>
        </w:rPr>
        <w:t>;</w:t>
      </w:r>
    </w:p>
    <w:p w14:paraId="111F9463" w14:textId="77777777" w:rsidR="00230737" w:rsidRPr="00297E43" w:rsidRDefault="00230737" w:rsidP="00BF5125">
      <w:pPr>
        <w:pStyle w:val="PargrafodaLista"/>
        <w:rPr>
          <w:bCs/>
          <w:color w:val="auto"/>
          <w:szCs w:val="20"/>
        </w:rPr>
      </w:pPr>
    </w:p>
    <w:p w14:paraId="52F9846A" w14:textId="63E49614" w:rsidR="00230737" w:rsidRPr="00297E43" w:rsidRDefault="00230737" w:rsidP="00BF5125">
      <w:pPr>
        <w:pStyle w:val="PargrafodaLista"/>
        <w:numPr>
          <w:ilvl w:val="0"/>
          <w:numId w:val="36"/>
        </w:numPr>
        <w:spacing w:beforeLines="120" w:before="288" w:after="0" w:line="240" w:lineRule="auto"/>
        <w:rPr>
          <w:bCs/>
          <w:color w:val="auto"/>
          <w:szCs w:val="20"/>
        </w:rPr>
      </w:pPr>
      <w:r w:rsidRPr="00297E43">
        <w:rPr>
          <w:color w:val="auto"/>
        </w:rPr>
        <w:t>Termo de Análise d</w:t>
      </w:r>
      <w:r w:rsidRPr="00297E43">
        <w:rPr>
          <w:bCs/>
          <w:color w:val="auto"/>
          <w:szCs w:val="20"/>
        </w:rPr>
        <w:t>o Cadastramento do Distribuidor</w:t>
      </w:r>
      <w:r w:rsidR="004C081F" w:rsidRPr="00297E43">
        <w:rPr>
          <w:bCs/>
          <w:color w:val="auto"/>
          <w:szCs w:val="20"/>
        </w:rPr>
        <w:t>.</w:t>
      </w:r>
    </w:p>
    <w:p w14:paraId="4E1FA5D8" w14:textId="4018503C" w:rsidR="006B0FB7" w:rsidRPr="00297E43" w:rsidRDefault="006B0FB7" w:rsidP="00695F71">
      <w:pPr>
        <w:spacing w:beforeLines="120" w:before="288" w:line="240" w:lineRule="auto"/>
        <w:rPr>
          <w:bCs/>
          <w:color w:val="auto"/>
          <w:szCs w:val="20"/>
        </w:rPr>
      </w:pPr>
      <w:r w:rsidRPr="00297E43">
        <w:rPr>
          <w:bCs/>
          <w:color w:val="auto"/>
          <w:szCs w:val="20"/>
        </w:rPr>
        <w:t>Quando se tratar de fundos de investimento, o credenciamento previsto recairá sobre a figura do gestor e do administrador do fundo.</w:t>
      </w:r>
    </w:p>
    <w:p w14:paraId="2F2A33E0" w14:textId="77777777" w:rsidR="006B0FB7" w:rsidRPr="00297E43" w:rsidRDefault="006B0FB7" w:rsidP="00314466">
      <w:pPr>
        <w:pStyle w:val="Ttulo2"/>
        <w:rPr>
          <w:color w:val="auto"/>
        </w:rPr>
      </w:pPr>
      <w:bookmarkStart w:id="114" w:name="_Toc435202756"/>
      <w:bookmarkStart w:id="115" w:name="_Toc490036562"/>
      <w:bookmarkStart w:id="116" w:name="_Toc20130614"/>
      <w:r w:rsidRPr="00297E43">
        <w:rPr>
          <w:color w:val="auto"/>
        </w:rPr>
        <w:t>PROCESSO DE SELEÇÃO E AVALIAÇÃO DE GESTORES/ADMINISTRADORES</w:t>
      </w:r>
      <w:bookmarkEnd w:id="114"/>
      <w:bookmarkEnd w:id="115"/>
      <w:bookmarkEnd w:id="116"/>
    </w:p>
    <w:p w14:paraId="0114DB24" w14:textId="77777777" w:rsidR="006B0FB7" w:rsidRPr="00297E43" w:rsidRDefault="006B0FB7" w:rsidP="00695F71">
      <w:pPr>
        <w:spacing w:beforeLines="120" w:before="288" w:line="240" w:lineRule="auto"/>
        <w:rPr>
          <w:bCs/>
          <w:color w:val="auto"/>
          <w:szCs w:val="20"/>
        </w:rPr>
      </w:pPr>
      <w:r w:rsidRPr="00297E43">
        <w:rPr>
          <w:bCs/>
          <w:color w:val="auto"/>
          <w:szCs w:val="20"/>
        </w:rPr>
        <w:t xml:space="preserve">Nos processos de seleção dos Gestores/Administradores, devem ser considerados os aspectos qualitativos e quantitativos, tendo como parâmetro de análise no </w:t>
      </w:r>
      <w:r w:rsidRPr="00297E43">
        <w:rPr>
          <w:b/>
          <w:bCs/>
          <w:color w:val="auto"/>
          <w:szCs w:val="20"/>
          <w:u w:val="single"/>
        </w:rPr>
        <w:t>mínimo</w:t>
      </w:r>
      <w:r w:rsidRPr="00297E43">
        <w:rPr>
          <w:bCs/>
          <w:color w:val="auto"/>
          <w:szCs w:val="20"/>
        </w:rPr>
        <w:t>:</w:t>
      </w:r>
    </w:p>
    <w:p w14:paraId="1827A17D" w14:textId="77777777" w:rsidR="006B0FB7" w:rsidRPr="00297E43" w:rsidRDefault="006B0FB7" w:rsidP="006B0FB7">
      <w:pPr>
        <w:numPr>
          <w:ilvl w:val="0"/>
          <w:numId w:val="14"/>
        </w:numPr>
        <w:spacing w:beforeLines="120" w:before="288" w:after="0" w:line="240" w:lineRule="auto"/>
        <w:rPr>
          <w:bCs/>
          <w:color w:val="auto"/>
          <w:szCs w:val="20"/>
        </w:rPr>
      </w:pPr>
      <w:r w:rsidRPr="00297E43">
        <w:rPr>
          <w:b/>
          <w:bCs/>
          <w:color w:val="auto"/>
          <w:szCs w:val="20"/>
        </w:rPr>
        <w:t>Tradição e Credibilidade da Instituição</w:t>
      </w:r>
      <w:r w:rsidRPr="00297E43">
        <w:rPr>
          <w:bCs/>
          <w:color w:val="auto"/>
          <w:szCs w:val="20"/>
        </w:rPr>
        <w:t xml:space="preserve">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14:paraId="436AEEBC" w14:textId="23C39D18" w:rsidR="006B0FB7" w:rsidRPr="00297E43" w:rsidRDefault="006B0FB7" w:rsidP="006B0FB7">
      <w:pPr>
        <w:numPr>
          <w:ilvl w:val="0"/>
          <w:numId w:val="14"/>
        </w:numPr>
        <w:spacing w:beforeLines="120" w:before="288" w:after="0" w:line="240" w:lineRule="auto"/>
        <w:rPr>
          <w:bCs/>
          <w:color w:val="auto"/>
          <w:szCs w:val="20"/>
        </w:rPr>
      </w:pPr>
      <w:r w:rsidRPr="00297E43">
        <w:rPr>
          <w:b/>
          <w:bCs/>
          <w:color w:val="auto"/>
          <w:szCs w:val="20"/>
        </w:rPr>
        <w:t>Gestão do Risco</w:t>
      </w:r>
      <w:r w:rsidRPr="00297E43">
        <w:rPr>
          <w:bCs/>
          <w:color w:val="auto"/>
          <w:szCs w:val="20"/>
        </w:rPr>
        <w:t xml:space="preserve">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w:t>
      </w:r>
      <w:r w:rsidRPr="00297E43">
        <w:rPr>
          <w:bCs/>
          <w:i/>
          <w:color w:val="auto"/>
          <w:szCs w:val="20"/>
        </w:rPr>
        <w:t>compliance</w:t>
      </w:r>
      <w:r w:rsidRPr="00297E43">
        <w:rPr>
          <w:bCs/>
          <w:color w:val="auto"/>
          <w:szCs w:val="20"/>
        </w:rPr>
        <w:t xml:space="preserve">”,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w:t>
      </w:r>
      <w:r w:rsidR="00A35508" w:rsidRPr="00297E43">
        <w:rPr>
          <w:bCs/>
          <w:color w:val="auto"/>
          <w:szCs w:val="20"/>
        </w:rPr>
        <w:t>administração e gestão do risco;</w:t>
      </w:r>
    </w:p>
    <w:p w14:paraId="78557BB8" w14:textId="01A6E439" w:rsidR="006B0FB7" w:rsidRPr="00297E43" w:rsidRDefault="006B0FB7" w:rsidP="006B0FB7">
      <w:pPr>
        <w:numPr>
          <w:ilvl w:val="0"/>
          <w:numId w:val="14"/>
        </w:numPr>
        <w:spacing w:beforeLines="120" w:before="288" w:after="0" w:line="240" w:lineRule="auto"/>
        <w:rPr>
          <w:bCs/>
          <w:color w:val="auto"/>
          <w:szCs w:val="20"/>
        </w:rPr>
      </w:pPr>
      <w:r w:rsidRPr="00297E43">
        <w:rPr>
          <w:b/>
          <w:bCs/>
          <w:color w:val="auto"/>
          <w:szCs w:val="20"/>
        </w:rPr>
        <w:t>Avaliação de aderência dos Fundos aos indicadores de desempenho (Benchmark) e riscos</w:t>
      </w:r>
      <w:r w:rsidRPr="00297E43">
        <w:rPr>
          <w:bCs/>
          <w:color w:val="auto"/>
          <w:szCs w:val="20"/>
        </w:rPr>
        <w:t xml:space="preserve"> – envolvendo a correlação da rentabilidade com seus objetivos e a consistência na entrega de resultados no período mínimo de dois an</w:t>
      </w:r>
      <w:r w:rsidR="00A35508" w:rsidRPr="00297E43">
        <w:rPr>
          <w:bCs/>
          <w:color w:val="auto"/>
          <w:szCs w:val="20"/>
        </w:rPr>
        <w:t>os anteriores ao credenciamento.</w:t>
      </w:r>
    </w:p>
    <w:p w14:paraId="02784D11" w14:textId="115CA2DD" w:rsidR="004D1769" w:rsidRPr="00297E43" w:rsidRDefault="004D1769" w:rsidP="004D1769">
      <w:pPr>
        <w:spacing w:beforeLines="120" w:before="288" w:after="0" w:line="240" w:lineRule="auto"/>
        <w:rPr>
          <w:bCs/>
          <w:color w:val="auto"/>
          <w:szCs w:val="20"/>
        </w:rPr>
      </w:pPr>
      <w:r w:rsidRPr="00297E43">
        <w:rPr>
          <w:bCs/>
          <w:color w:val="auto"/>
          <w:szCs w:val="20"/>
        </w:rPr>
        <w:t xml:space="preserve">Entende-se que os fundos </w:t>
      </w:r>
      <w:r w:rsidR="004C081F" w:rsidRPr="00297E43">
        <w:rPr>
          <w:bCs/>
          <w:color w:val="auto"/>
          <w:szCs w:val="20"/>
        </w:rPr>
        <w:t xml:space="preserve">de investimentos </w:t>
      </w:r>
      <w:r w:rsidRPr="00297E43">
        <w:rPr>
          <w:bCs/>
          <w:color w:val="auto"/>
          <w:szCs w:val="20"/>
        </w:rPr>
        <w:t>possuem uma gestão discricionária, na qual o gestor decide pelos investimentos que vai realizar, desde que respeitando o regulamento do fundo e as normas aplicáveis aos RPPS.</w:t>
      </w:r>
    </w:p>
    <w:p w14:paraId="5C31252B" w14:textId="29E0C563" w:rsidR="004D1769" w:rsidRPr="00297E43" w:rsidRDefault="004D1769" w:rsidP="004D1769">
      <w:pPr>
        <w:spacing w:beforeLines="120" w:before="288" w:after="0" w:line="240" w:lineRule="auto"/>
        <w:rPr>
          <w:bCs/>
          <w:color w:val="auto"/>
          <w:szCs w:val="20"/>
        </w:rPr>
      </w:pPr>
      <w:r w:rsidRPr="00297E43">
        <w:rPr>
          <w:bCs/>
          <w:color w:val="auto"/>
          <w:szCs w:val="20"/>
        </w:rPr>
        <w:t>O Credenciamento se dará, por meio eletrônico, no âmbito de controle, inclusive no gerenciamento dos documentos e Certidões requisitadas, através do sistema eletrônico utilizado pelo RPPS.</w:t>
      </w:r>
    </w:p>
    <w:p w14:paraId="646BD1F7" w14:textId="77777777" w:rsidR="004D1769" w:rsidRPr="00297E43" w:rsidRDefault="004D1769" w:rsidP="004D1769">
      <w:pPr>
        <w:spacing w:beforeLines="120" w:before="288" w:after="0" w:line="240" w:lineRule="auto"/>
        <w:rPr>
          <w:bCs/>
          <w:color w:val="auto"/>
          <w:szCs w:val="20"/>
        </w:rPr>
      </w:pPr>
      <w:r w:rsidRPr="00297E43">
        <w:rPr>
          <w:bCs/>
          <w:color w:val="auto"/>
          <w:szCs w:val="20"/>
        </w:rPr>
        <w:t xml:space="preserve">Fica definido também, como critério de documento para credenciamento, o relatório </w:t>
      </w:r>
      <w:r w:rsidRPr="00297E43">
        <w:rPr>
          <w:bCs/>
          <w:i/>
          <w:color w:val="auto"/>
          <w:szCs w:val="20"/>
        </w:rPr>
        <w:t xml:space="preserve">Due Diligence </w:t>
      </w:r>
      <w:r w:rsidRPr="00297E43">
        <w:rPr>
          <w:bCs/>
          <w:color w:val="auto"/>
          <w:szCs w:val="20"/>
        </w:rPr>
        <w:t>da ANBIMA, entendidos como seção um, dois e três.</w:t>
      </w:r>
    </w:p>
    <w:p w14:paraId="01010441" w14:textId="4252D48F" w:rsidR="007B37C7" w:rsidRPr="00297E43" w:rsidRDefault="007B37C7" w:rsidP="004D1769">
      <w:pPr>
        <w:spacing w:beforeLines="120" w:before="288" w:after="0" w:line="240" w:lineRule="auto"/>
        <w:rPr>
          <w:bCs/>
          <w:color w:val="auto"/>
          <w:szCs w:val="20"/>
        </w:rPr>
      </w:pPr>
      <w:r w:rsidRPr="00297E43">
        <w:rPr>
          <w:bCs/>
          <w:color w:val="auto"/>
          <w:szCs w:val="20"/>
        </w:rPr>
        <w:t xml:space="preserve">Encontra-se qualificado a participar do processo seletivo qualquer empresa administradora ou gestora de recursos financeiros dos fundos de investimentos em que figurarem instituições autorizadas a funcionar pelo Banco Central do Brasil </w:t>
      </w:r>
      <w:r w:rsidRPr="00297E43">
        <w:rPr>
          <w:bCs/>
          <w:color w:val="auto"/>
          <w:szCs w:val="20"/>
        </w:rPr>
        <w:lastRenderedPageBreak/>
        <w:t>obrigadas a instituir comitê de auditoria e comitê de riscos, nos termos das Resoluções CMN n° 3.198/2004 e n° 4.557/2017, respectivamente.</w:t>
      </w:r>
    </w:p>
    <w:p w14:paraId="46FBD270" w14:textId="77777777" w:rsidR="00BA6677" w:rsidRPr="00297E43" w:rsidRDefault="00BA6677" w:rsidP="008815C6">
      <w:pPr>
        <w:spacing w:beforeLines="120" w:before="288" w:after="0" w:line="240" w:lineRule="auto"/>
        <w:rPr>
          <w:bCs/>
          <w:color w:val="auto"/>
          <w:szCs w:val="20"/>
        </w:rPr>
      </w:pPr>
      <w:bookmarkStart w:id="117" w:name="_Toc435189700"/>
      <w:bookmarkStart w:id="118" w:name="_Toc435202758"/>
      <w:bookmarkStart w:id="119" w:name="_Toc490036563"/>
      <w:r w:rsidRPr="00297E43">
        <w:rPr>
          <w:bCs/>
          <w:color w:val="auto"/>
          <w:szCs w:val="20"/>
        </w:rPr>
        <w:br w:type="page"/>
      </w:r>
    </w:p>
    <w:p w14:paraId="45C50088" w14:textId="77777777" w:rsidR="0050706A" w:rsidRPr="00297E43" w:rsidRDefault="0050706A" w:rsidP="008815C6">
      <w:pPr>
        <w:pStyle w:val="Ttulo1"/>
        <w:spacing w:after="240"/>
        <w:rPr>
          <w:color w:val="auto"/>
        </w:rPr>
      </w:pPr>
      <w:bookmarkStart w:id="120" w:name="_Toc20130615"/>
      <w:r w:rsidRPr="00297E43">
        <w:rPr>
          <w:color w:val="auto"/>
        </w:rPr>
        <w:lastRenderedPageBreak/>
        <w:t>PRECIFICAÇÃO DE ATIVOS</w:t>
      </w:r>
      <w:bookmarkEnd w:id="120"/>
    </w:p>
    <w:p w14:paraId="31B24630" w14:textId="42012656" w:rsidR="00C43795" w:rsidRPr="00297E43" w:rsidRDefault="00C43795" w:rsidP="00067097">
      <w:pPr>
        <w:spacing w:beforeLines="120" w:before="288" w:line="240" w:lineRule="auto"/>
        <w:rPr>
          <w:bCs/>
          <w:color w:val="auto"/>
          <w:szCs w:val="20"/>
        </w:rPr>
      </w:pPr>
      <w:r w:rsidRPr="00297E43">
        <w:rPr>
          <w:bCs/>
          <w:color w:val="auto"/>
          <w:szCs w:val="20"/>
        </w:rPr>
        <w:t xml:space="preserve">Os princípios e critérios </w:t>
      </w:r>
      <w:r w:rsidR="00C02502" w:rsidRPr="00297E43">
        <w:rPr>
          <w:bCs/>
          <w:color w:val="auto"/>
          <w:szCs w:val="20"/>
        </w:rPr>
        <w:t xml:space="preserve">de precificação para os ativos e </w:t>
      </w:r>
      <w:r w:rsidRPr="00297E43">
        <w:rPr>
          <w:bCs/>
          <w:color w:val="auto"/>
          <w:szCs w:val="20"/>
        </w:rPr>
        <w:t xml:space="preserve">os fundos de investimentos que compõe ou que virão a compor a carteira de investimentos do </w:t>
      </w:r>
      <w:r w:rsidR="00314466" w:rsidRPr="00297E43">
        <w:rPr>
          <w:b/>
          <w:bCs/>
          <w:color w:val="auto"/>
          <w:szCs w:val="20"/>
        </w:rPr>
        <w:t>INSTITUTO DE PREVIDÊNCIA DOS SERVIDORES PÚBLICOS DO MUNICÍPIO DE BOM JESUS DOS PERDÕES – PREV BOM JESUS</w:t>
      </w:r>
      <w:r w:rsidRPr="00297E43">
        <w:rPr>
          <w:bCs/>
          <w:color w:val="auto"/>
          <w:szCs w:val="20"/>
        </w:rPr>
        <w:t>, deverão seguir o c</w:t>
      </w:r>
      <w:r w:rsidR="00067097" w:rsidRPr="00297E43">
        <w:rPr>
          <w:bCs/>
          <w:color w:val="auto"/>
          <w:szCs w:val="20"/>
        </w:rPr>
        <w:t>ritério de precificação de marcação a mercado (MaM).</w:t>
      </w:r>
    </w:p>
    <w:p w14:paraId="64F819DD" w14:textId="2D2E8DF4" w:rsidR="00FE236A" w:rsidRPr="00297E43" w:rsidRDefault="00FE236A" w:rsidP="00067097">
      <w:pPr>
        <w:spacing w:beforeLines="120" w:before="288" w:line="240" w:lineRule="auto"/>
        <w:rPr>
          <w:bCs/>
          <w:color w:val="auto"/>
          <w:szCs w:val="20"/>
        </w:rPr>
      </w:pPr>
      <w:r w:rsidRPr="00297E43">
        <w:rPr>
          <w:bCs/>
          <w:color w:val="auto"/>
          <w:szCs w:val="20"/>
        </w:rPr>
        <w:t>Poderão ser contabilizados pelos respectivos custos de aquisição acrescidos dos rendimentos auferidos os Títulos Públicos Federais, desde que se cumpram cumulativamente as devidas exigências da Portaria MF n° 577, de 27 de dezembro de 2017</w:t>
      </w:r>
      <w:r w:rsidR="00662190" w:rsidRPr="00297E43">
        <w:rPr>
          <w:bCs/>
          <w:color w:val="auto"/>
          <w:szCs w:val="20"/>
        </w:rPr>
        <w:t xml:space="preserve"> já descritos anteriormente</w:t>
      </w:r>
      <w:r w:rsidRPr="00297E43">
        <w:rPr>
          <w:bCs/>
          <w:color w:val="auto"/>
          <w:szCs w:val="20"/>
        </w:rPr>
        <w:t>.</w:t>
      </w:r>
    </w:p>
    <w:p w14:paraId="43ABF860" w14:textId="77777777" w:rsidR="0050706A" w:rsidRPr="00297E43" w:rsidRDefault="0050706A" w:rsidP="00314466">
      <w:pPr>
        <w:pStyle w:val="Ttulo2"/>
        <w:rPr>
          <w:color w:val="auto"/>
        </w:rPr>
      </w:pPr>
      <w:bookmarkStart w:id="121" w:name="_Toc20130616"/>
      <w:r w:rsidRPr="00297E43">
        <w:rPr>
          <w:color w:val="auto"/>
        </w:rPr>
        <w:t>METODOLOGIA</w:t>
      </w:r>
      <w:bookmarkEnd w:id="121"/>
    </w:p>
    <w:p w14:paraId="3764596F" w14:textId="77777777" w:rsidR="007848F7" w:rsidRPr="00297E43" w:rsidRDefault="00AC0375" w:rsidP="007848F7">
      <w:pPr>
        <w:pStyle w:val="Ttulo3"/>
        <w:spacing w:before="0"/>
        <w:rPr>
          <w:color w:val="auto"/>
        </w:rPr>
      </w:pPr>
      <w:bookmarkStart w:id="122" w:name="_Toc20130617"/>
      <w:r w:rsidRPr="00297E43">
        <w:rPr>
          <w:color w:val="auto"/>
        </w:rPr>
        <w:t>MARCAÇÕES</w:t>
      </w:r>
      <w:bookmarkEnd w:id="122"/>
    </w:p>
    <w:p w14:paraId="1FC7DA02" w14:textId="77777777" w:rsidR="00576270" w:rsidRPr="00297E43" w:rsidRDefault="007740D7" w:rsidP="00134F10">
      <w:pPr>
        <w:spacing w:beforeLines="120" w:before="288" w:line="240" w:lineRule="auto"/>
        <w:rPr>
          <w:bCs/>
          <w:color w:val="auto"/>
          <w:szCs w:val="20"/>
        </w:rPr>
      </w:pPr>
      <w:r w:rsidRPr="00297E43">
        <w:rPr>
          <w:bCs/>
          <w:color w:val="auto"/>
          <w:szCs w:val="20"/>
        </w:rPr>
        <w:t xml:space="preserve">O processo de </w:t>
      </w:r>
      <w:r w:rsidRPr="00297E43">
        <w:rPr>
          <w:b/>
          <w:bCs/>
          <w:color w:val="auto"/>
          <w:szCs w:val="20"/>
          <w:u w:val="single"/>
        </w:rPr>
        <w:t>marcação a mercado</w:t>
      </w:r>
      <w:r w:rsidRPr="00297E43">
        <w:rPr>
          <w:bCs/>
          <w:color w:val="auto"/>
          <w:szCs w:val="20"/>
        </w:rPr>
        <w:t xml:space="preserve"> consiste em atribuir um preço justo a um determinado ativo ou derivativo, seja pelo preço de mercado, caso haja liquidez, ou seja, na ausência desta, pela melhor estimativa que o preço do ativo teria em uma eventual negociação.</w:t>
      </w:r>
    </w:p>
    <w:p w14:paraId="51033AAB" w14:textId="77777777" w:rsidR="007848F7" w:rsidRPr="00297E43" w:rsidRDefault="007848F7" w:rsidP="007848F7">
      <w:pPr>
        <w:rPr>
          <w:color w:val="auto"/>
        </w:rPr>
      </w:pPr>
      <w:r w:rsidRPr="00297E43">
        <w:rPr>
          <w:color w:val="auto"/>
        </w:rPr>
        <w:t xml:space="preserve">O processo de </w:t>
      </w:r>
      <w:r w:rsidRPr="00297E43">
        <w:rPr>
          <w:b/>
          <w:color w:val="auto"/>
          <w:u w:val="single"/>
        </w:rPr>
        <w:t>marcação na curva</w:t>
      </w:r>
      <w:r w:rsidRPr="00297E43">
        <w:rPr>
          <w:color w:val="auto"/>
        </w:rPr>
        <w:t xml:space="preserve"> consiste na contabilização do valor de compra de um determinado título, acrescido da variação da taxa de juros, desde </w:t>
      </w:r>
      <w:r w:rsidR="004B3B42" w:rsidRPr="00297E43">
        <w:rPr>
          <w:color w:val="auto"/>
        </w:rPr>
        <w:t xml:space="preserve">que </w:t>
      </w:r>
      <w:r w:rsidRPr="00297E43">
        <w:rPr>
          <w:color w:val="auto"/>
        </w:rPr>
        <w:t xml:space="preserve">a emissão do papel </w:t>
      </w:r>
      <w:r w:rsidR="004B3B42" w:rsidRPr="00297E43">
        <w:rPr>
          <w:color w:val="auto"/>
        </w:rPr>
        <w:t xml:space="preserve">seja carregada </w:t>
      </w:r>
      <w:r w:rsidRPr="00297E43">
        <w:rPr>
          <w:color w:val="auto"/>
        </w:rPr>
        <w:t>até o seu respectivo vencimento.</w:t>
      </w:r>
      <w:r w:rsidR="00BF54CB" w:rsidRPr="00297E43">
        <w:rPr>
          <w:color w:val="auto"/>
        </w:rPr>
        <w:t xml:space="preserve"> O valor será atualizado diariamente, sem considerar a oscilações de preço auferidas no mercado.</w:t>
      </w:r>
    </w:p>
    <w:p w14:paraId="03EE97F4" w14:textId="77777777" w:rsidR="0050706A" w:rsidRPr="00297E43" w:rsidRDefault="0050706A" w:rsidP="00314466">
      <w:pPr>
        <w:pStyle w:val="Ttulo2"/>
        <w:rPr>
          <w:color w:val="auto"/>
        </w:rPr>
      </w:pPr>
      <w:bookmarkStart w:id="123" w:name="_Toc20130618"/>
      <w:r w:rsidRPr="00297E43">
        <w:rPr>
          <w:color w:val="auto"/>
        </w:rPr>
        <w:t>CRITÉRIOS</w:t>
      </w:r>
      <w:r w:rsidR="00134F10" w:rsidRPr="00297E43">
        <w:rPr>
          <w:color w:val="auto"/>
        </w:rPr>
        <w:t xml:space="preserve"> DE PRECIFICAÇÃO</w:t>
      </w:r>
      <w:bookmarkEnd w:id="123"/>
    </w:p>
    <w:p w14:paraId="73481958" w14:textId="77777777" w:rsidR="007740D7" w:rsidRPr="00297E43" w:rsidRDefault="00134F10" w:rsidP="00134F10">
      <w:pPr>
        <w:pStyle w:val="Ttulo3"/>
        <w:spacing w:after="240"/>
        <w:rPr>
          <w:color w:val="auto"/>
        </w:rPr>
      </w:pPr>
      <w:bookmarkStart w:id="124" w:name="_Toc20130619"/>
      <w:r w:rsidRPr="00297E43">
        <w:rPr>
          <w:color w:val="auto"/>
        </w:rPr>
        <w:t>TÍTULOS PÚBLICOS FEDERAIS</w:t>
      </w:r>
      <w:bookmarkEnd w:id="124"/>
    </w:p>
    <w:p w14:paraId="30013D88" w14:textId="77777777" w:rsidR="00C13039" w:rsidRPr="00297E43" w:rsidRDefault="00C13039" w:rsidP="00134F10">
      <w:pPr>
        <w:spacing w:after="240"/>
        <w:rPr>
          <w:color w:val="auto"/>
        </w:rPr>
      </w:pPr>
      <w:r w:rsidRPr="00297E43">
        <w:rPr>
          <w:bCs/>
          <w:color w:val="auto"/>
        </w:rPr>
        <w:t xml:space="preserve">São </w:t>
      </w:r>
      <w:r w:rsidRPr="00297E43">
        <w:rPr>
          <w:color w:val="auto"/>
        </w:rPr>
        <w:t>ativos de renda fixa emitidos pelo Tesouro Nacional, que representam uma forma de financiar a dívida pública e permitem que os investidores emprestem dinheiro para o governo, recebendo em troca uma determinada rentabilidade. Possuem diversas características como: liquidez diária, baixo custo, baixíssimo risco de crédito, e a solidez de uma instituição enorme por trás.</w:t>
      </w:r>
    </w:p>
    <w:p w14:paraId="3AA247EC" w14:textId="77777777" w:rsidR="00C13039" w:rsidRPr="00297E43" w:rsidRDefault="00C13039" w:rsidP="00134F10">
      <w:pPr>
        <w:spacing w:after="240"/>
        <w:rPr>
          <w:color w:val="auto"/>
        </w:rPr>
      </w:pPr>
      <w:r w:rsidRPr="00297E43">
        <w:rPr>
          <w:color w:val="auto"/>
        </w:rPr>
        <w:t>Como fonte primária de dados, a curva de títulos em reais, gerada a partir da taxa indicativa divulgada pela ANBIMA e a taxa de juros divulgada pelo Banco Central, encontramos o valor do preço unitário do título público.</w:t>
      </w:r>
    </w:p>
    <w:p w14:paraId="7EAE0771" w14:textId="77777777" w:rsidR="00211C8C" w:rsidRPr="00297E43" w:rsidRDefault="00211C8C" w:rsidP="00C95BFC">
      <w:pPr>
        <w:pStyle w:val="Ttulo4"/>
        <w:rPr>
          <w:color w:val="auto"/>
        </w:rPr>
      </w:pPr>
      <w:r w:rsidRPr="00297E43">
        <w:rPr>
          <w:color w:val="auto"/>
        </w:rPr>
        <w:t>Marcação a Mercado</w:t>
      </w:r>
    </w:p>
    <w:p w14:paraId="75606AAA" w14:textId="77777777" w:rsidR="004B3B42" w:rsidRPr="00297E43" w:rsidRDefault="00C13039" w:rsidP="00AC0375">
      <w:pPr>
        <w:spacing w:after="240"/>
        <w:rPr>
          <w:color w:val="auto"/>
        </w:rPr>
      </w:pPr>
      <w:r w:rsidRPr="00297E43">
        <w:rPr>
          <w:color w:val="auto"/>
        </w:rPr>
        <w:t>Através do preço unitário divulgado no extrato do custodiante, multiplicado pela quantidade de títulos públicos detidos pelo regime, obtivemos o valor a mercado do título público na carteira de investimentos. Abaixo segue fórmula:</w:t>
      </w:r>
    </w:p>
    <w:p w14:paraId="0EE8FC43" w14:textId="77777777" w:rsidR="00C13039" w:rsidRPr="00297E43" w:rsidRDefault="00D13FB8" w:rsidP="00134F10">
      <w:pPr>
        <w:spacing w:after="240"/>
        <w:rPr>
          <w:color w:val="auto"/>
        </w:rPr>
      </w:pPr>
      <m:oMathPara>
        <m:oMathParaPr>
          <m:jc m:val="center"/>
        </m:oMathParaPr>
        <m:oMath>
          <m:r>
            <w:rPr>
              <w:rFonts w:ascii="Cambria Math" w:hAnsi="Cambria Math"/>
              <w:color w:val="auto"/>
            </w:rPr>
            <m:t>Vm=P</m:t>
          </m:r>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Atual</m:t>
              </m:r>
            </m:sub>
          </m:sSub>
          <m:r>
            <w:rPr>
              <w:rFonts w:ascii="Cambria Math" w:hAnsi="Cambria Math"/>
              <w:color w:val="auto"/>
            </w:rPr>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m:t>
              </m:r>
            </m:sub>
          </m:sSub>
        </m:oMath>
      </m:oMathPara>
    </w:p>
    <w:p w14:paraId="1B225D99" w14:textId="77777777" w:rsidR="00EF7905" w:rsidRPr="00297E43" w:rsidRDefault="00EF7905" w:rsidP="00AB69A3">
      <w:pPr>
        <w:spacing w:after="240"/>
        <w:rPr>
          <w:color w:val="auto"/>
        </w:rPr>
      </w:pPr>
      <w:r w:rsidRPr="00297E43">
        <w:rPr>
          <w:color w:val="auto"/>
        </w:rPr>
        <w:t>Onde:</w:t>
      </w:r>
    </w:p>
    <w:p w14:paraId="106D8675" w14:textId="77777777" w:rsidR="00C13039" w:rsidRPr="00297E43" w:rsidRDefault="00EF7905" w:rsidP="004D7769">
      <w:pPr>
        <w:spacing w:after="0"/>
        <w:ind w:left="1134"/>
        <w:rPr>
          <w:color w:val="auto"/>
        </w:rPr>
      </w:pPr>
      <w:r w:rsidRPr="00297E43">
        <w:rPr>
          <w:b/>
          <w:i/>
          <w:color w:val="auto"/>
        </w:rPr>
        <w:t>Vm</w:t>
      </w:r>
      <w:r w:rsidRPr="00297E43">
        <w:rPr>
          <w:color w:val="auto"/>
        </w:rPr>
        <w:t xml:space="preserve"> = valor de mercado</w:t>
      </w:r>
    </w:p>
    <w:p w14:paraId="54CC021B" w14:textId="77777777" w:rsidR="00EF7905" w:rsidRPr="00297E43" w:rsidRDefault="00E22307" w:rsidP="004D7769">
      <w:pPr>
        <w:spacing w:after="0"/>
        <w:ind w:left="1134"/>
        <w:rPr>
          <w:color w:val="auto"/>
        </w:rPr>
      </w:pPr>
      <m:oMath>
        <m:r>
          <w:rPr>
            <w:rFonts w:ascii="Cambria Math" w:eastAsiaTheme="minorEastAsia" w:hAnsi="Cambria Math"/>
            <w:color w:val="auto"/>
          </w:rPr>
          <m:t>P</m:t>
        </m:r>
        <m:sSub>
          <m:sSubPr>
            <m:ctrlPr>
              <w:rPr>
                <w:rFonts w:ascii="Cambria Math" w:eastAsiaTheme="minorEastAsia" w:hAnsi="Cambria Math"/>
                <w:i/>
                <w:color w:val="auto"/>
              </w:rPr>
            </m:ctrlPr>
          </m:sSubPr>
          <m:e>
            <m:r>
              <w:rPr>
                <w:rFonts w:ascii="Cambria Math" w:eastAsiaTheme="minorEastAsia" w:hAnsi="Cambria Math"/>
                <w:color w:val="auto"/>
              </w:rPr>
              <m:t>U</m:t>
            </m:r>
          </m:e>
          <m:sub>
            <m:r>
              <w:rPr>
                <w:rFonts w:ascii="Cambria Math" w:eastAsiaTheme="minorEastAsia" w:hAnsi="Cambria Math"/>
                <w:color w:val="auto"/>
              </w:rPr>
              <m:t>atual</m:t>
            </m:r>
          </m:sub>
        </m:sSub>
      </m:oMath>
      <w:r w:rsidR="00EF7905" w:rsidRPr="00297E43">
        <w:rPr>
          <w:color w:val="auto"/>
        </w:rPr>
        <w:t xml:space="preserve"> = preço unitário atual</w:t>
      </w:r>
    </w:p>
    <w:p w14:paraId="3179AA37" w14:textId="77777777" w:rsidR="004B3B42" w:rsidRPr="00297E43" w:rsidRDefault="00E22307" w:rsidP="00B829E0">
      <w:pPr>
        <w:spacing w:after="240"/>
        <w:ind w:left="1134"/>
        <w:rPr>
          <w:color w:val="auto"/>
        </w:rPr>
      </w:pPr>
      <m:oMath>
        <m:r>
          <w:rPr>
            <w:rFonts w:ascii="Cambria Math" w:hAnsi="Cambria Math"/>
            <w:color w:val="auto"/>
          </w:rPr>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títulos</m:t>
            </m:r>
          </m:sub>
        </m:sSub>
      </m:oMath>
      <w:r w:rsidR="00EF7905" w:rsidRPr="00297E43">
        <w:rPr>
          <w:color w:val="auto"/>
        </w:rPr>
        <w:t xml:space="preserve"> = quantidade de títulos em posso do regime</w:t>
      </w:r>
    </w:p>
    <w:p w14:paraId="2383C2BE" w14:textId="77777777" w:rsidR="00BF54CB" w:rsidRPr="00297E43" w:rsidRDefault="00BF54CB" w:rsidP="00C95BFC">
      <w:pPr>
        <w:pStyle w:val="Ttulo4"/>
        <w:rPr>
          <w:color w:val="auto"/>
        </w:rPr>
      </w:pPr>
      <w:r w:rsidRPr="00297E43">
        <w:rPr>
          <w:color w:val="auto"/>
        </w:rPr>
        <w:t>Marcação na Curva</w:t>
      </w:r>
    </w:p>
    <w:p w14:paraId="10D2C6CC" w14:textId="77777777" w:rsidR="00BF54CB" w:rsidRPr="00297E43" w:rsidRDefault="005E7912" w:rsidP="00AB69A3">
      <w:pPr>
        <w:spacing w:after="240"/>
        <w:rPr>
          <w:color w:val="auto"/>
        </w:rPr>
      </w:pPr>
      <w:r w:rsidRPr="00297E43">
        <w:rPr>
          <w:color w:val="auto"/>
        </w:rPr>
        <w:t xml:space="preserve">Como a precificação na curva é dada pela apropriação natural de juros até a data de vencimento do título, as </w:t>
      </w:r>
      <w:r w:rsidR="00713171" w:rsidRPr="00297E43">
        <w:rPr>
          <w:color w:val="auto"/>
        </w:rPr>
        <w:t>fórmula</w:t>
      </w:r>
      <w:r w:rsidRPr="00297E43">
        <w:rPr>
          <w:color w:val="auto"/>
        </w:rPr>
        <w:t>s variam de acordo com o tipo de papel, sendo</w:t>
      </w:r>
      <w:r w:rsidR="00713171" w:rsidRPr="00297E43">
        <w:rPr>
          <w:color w:val="auto"/>
        </w:rPr>
        <w:t>:</w:t>
      </w:r>
    </w:p>
    <w:p w14:paraId="01213670" w14:textId="77777777" w:rsidR="005E7912" w:rsidRPr="00297E43" w:rsidRDefault="005E7912" w:rsidP="00B829E0">
      <w:pPr>
        <w:spacing w:after="240"/>
        <w:ind w:left="708"/>
        <w:rPr>
          <w:b/>
          <w:i/>
          <w:color w:val="auto"/>
        </w:rPr>
      </w:pPr>
      <w:r w:rsidRPr="00297E43">
        <w:rPr>
          <w:b/>
          <w:i/>
          <w:color w:val="auto"/>
        </w:rPr>
        <w:t>Tesouro IPCA – NTN-B</w:t>
      </w:r>
    </w:p>
    <w:p w14:paraId="72320E3F" w14:textId="77777777" w:rsidR="005E7912" w:rsidRPr="00297E43" w:rsidRDefault="005E7912" w:rsidP="005E7912">
      <w:pPr>
        <w:spacing w:after="240"/>
        <w:rPr>
          <w:color w:val="auto"/>
        </w:rPr>
      </w:pPr>
      <w:r w:rsidRPr="00297E43">
        <w:rPr>
          <w:color w:val="auto"/>
        </w:rPr>
        <w:t>O Tesouro IPCA – NTN-B Principal possui fluxo de pagamento simples, ou seja, o investidor faz a aplicação e resgata o valor de face (valor investido somado à rentabilidade) na data de vencimento do título.</w:t>
      </w:r>
    </w:p>
    <w:p w14:paraId="0559837F" w14:textId="77777777" w:rsidR="005E7912" w:rsidRPr="00297E43" w:rsidRDefault="005E7912" w:rsidP="005E7912">
      <w:pPr>
        <w:spacing w:after="240"/>
        <w:rPr>
          <w:color w:val="auto"/>
        </w:rPr>
      </w:pPr>
      <w:r w:rsidRPr="00297E43">
        <w:rPr>
          <w:color w:val="auto"/>
        </w:rPr>
        <w:t>É um título pós-fixado cujo rendimento se dá por uma taxa definida mais a variação da taxa do Índice Nacional de Preço ao Consumidor Amplo em um determinado período.</w:t>
      </w:r>
    </w:p>
    <w:p w14:paraId="561660D9" w14:textId="77777777" w:rsidR="005E7912" w:rsidRPr="00297E43" w:rsidRDefault="005E7912" w:rsidP="005E7912">
      <w:pPr>
        <w:spacing w:after="240"/>
        <w:rPr>
          <w:color w:val="auto"/>
        </w:rPr>
      </w:pPr>
      <w:r w:rsidRPr="00297E43">
        <w:rPr>
          <w:color w:val="auto"/>
        </w:rPr>
        <w:t>O Valor Nominal Atualizado é calculado através do VNA na data de compra do título e da projeção do IPCA para a data de liquidação, seguindo a equação:</w:t>
      </w:r>
    </w:p>
    <w:p w14:paraId="338E4A23" w14:textId="77777777" w:rsidR="005E7912" w:rsidRPr="00297E43" w:rsidRDefault="005E7912" w:rsidP="005E7912">
      <w:pPr>
        <w:spacing w:after="240"/>
        <w:rPr>
          <w:rFonts w:eastAsiaTheme="minorEastAsia"/>
          <w:i/>
          <w:color w:val="auto"/>
        </w:rPr>
      </w:pPr>
      <m:oMathPara>
        <m:oMath>
          <m:r>
            <w:rPr>
              <w:rFonts w:ascii="Cambria Math" w:hAnsi="Cambria Math"/>
              <w:color w:val="auto"/>
            </w:rPr>
            <w:lastRenderedPageBreak/>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e>
              </m:d>
            </m:e>
            <m:sup>
              <m:r>
                <w:rPr>
                  <w:rFonts w:ascii="Cambria Math" w:hAnsi="Cambria Math"/>
                  <w:color w:val="auto"/>
                </w:rPr>
                <m:t>1/252</m:t>
              </m:r>
            </m:sup>
          </m:sSup>
        </m:oMath>
      </m:oMathPara>
    </w:p>
    <w:p w14:paraId="74BEEA5E" w14:textId="77777777" w:rsidR="00E601D4" w:rsidRPr="00297E43" w:rsidRDefault="00E601D4" w:rsidP="005E7912">
      <w:pPr>
        <w:spacing w:after="240"/>
        <w:rPr>
          <w:color w:val="auto"/>
        </w:rPr>
      </w:pPr>
      <w:r w:rsidRPr="00297E43">
        <w:rPr>
          <w:color w:val="auto"/>
        </w:rPr>
        <w:t>Onde:</w:t>
      </w:r>
    </w:p>
    <w:p w14:paraId="5B320731" w14:textId="77777777" w:rsidR="00E601D4" w:rsidRPr="00297E43" w:rsidRDefault="00E601D4" w:rsidP="00B829E0">
      <w:pPr>
        <w:spacing w:after="0"/>
        <w:ind w:left="1134"/>
        <w:rPr>
          <w:rFonts w:eastAsiaTheme="minorEastAsia"/>
          <w:color w:val="auto"/>
        </w:rPr>
      </w:pPr>
      <m:oMath>
        <m:r>
          <w:rPr>
            <w:rFonts w:ascii="Cambria Math" w:hAnsi="Cambria Math"/>
            <w:color w:val="auto"/>
          </w:rPr>
          <m:t>VNA</m:t>
        </m:r>
      </m:oMath>
      <w:r w:rsidRPr="00297E43">
        <w:rPr>
          <w:rFonts w:eastAsiaTheme="minorEastAsia"/>
          <w:color w:val="auto"/>
        </w:rPr>
        <w:t xml:space="preserve"> = Valor Nominal Atualizado</w:t>
      </w:r>
    </w:p>
    <w:p w14:paraId="294AC422" w14:textId="77777777" w:rsidR="00E601D4" w:rsidRPr="00297E43" w:rsidRDefault="00EF6A92"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E601D4" w:rsidRPr="00297E43">
        <w:rPr>
          <w:rFonts w:eastAsiaTheme="minorEastAsia"/>
          <w:color w:val="auto"/>
        </w:rPr>
        <w:t xml:space="preserve"> = Valor Nominal Atualizado na data da compra</w:t>
      </w:r>
    </w:p>
    <w:p w14:paraId="34532452" w14:textId="77777777" w:rsidR="00E601D4" w:rsidRPr="00297E43" w:rsidRDefault="00EF6A92"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oMath>
      <w:r w:rsidR="00E601D4" w:rsidRPr="00297E43">
        <w:rPr>
          <w:rFonts w:eastAsiaTheme="minorEastAsia"/>
          <w:color w:val="auto"/>
        </w:rPr>
        <w:t xml:space="preserve"> = Inflação projetada para o final do exercício</w:t>
      </w:r>
    </w:p>
    <w:p w14:paraId="74A51AB4" w14:textId="77777777" w:rsidR="00E601D4" w:rsidRPr="00297E43" w:rsidRDefault="00E601D4" w:rsidP="005E7912">
      <w:pPr>
        <w:spacing w:after="240"/>
        <w:rPr>
          <w:color w:val="auto"/>
        </w:rPr>
      </w:pPr>
      <w:r w:rsidRPr="00297E43">
        <w:rPr>
          <w:color w:val="auto"/>
        </w:rPr>
        <w:t>O rendimento da aplicação é recebido pelo investidor ao longo do investimento, por meio do pagamento de juros semestrais e na data de vencimento com resgate do valor de face somado ao último cupom de juros.</w:t>
      </w:r>
    </w:p>
    <w:p w14:paraId="7CFE5F14" w14:textId="77777777" w:rsidR="00E601D4" w:rsidRPr="00297E43" w:rsidRDefault="00E601D4" w:rsidP="005B5E5B">
      <w:pPr>
        <w:spacing w:after="240"/>
        <w:ind w:left="708"/>
        <w:rPr>
          <w:b/>
          <w:i/>
          <w:color w:val="auto"/>
        </w:rPr>
      </w:pPr>
      <w:r w:rsidRPr="00297E43">
        <w:rPr>
          <w:b/>
          <w:i/>
          <w:color w:val="auto"/>
        </w:rPr>
        <w:t>Tesouro SELIC – LFT</w:t>
      </w:r>
    </w:p>
    <w:p w14:paraId="45926D7D" w14:textId="77777777" w:rsidR="00E601D4" w:rsidRPr="00297E43" w:rsidRDefault="00E601D4" w:rsidP="00E601D4">
      <w:pPr>
        <w:rPr>
          <w:color w:val="auto"/>
        </w:rPr>
      </w:pPr>
      <w:r w:rsidRPr="00297E43">
        <w:rPr>
          <w:color w:val="auto"/>
        </w:rPr>
        <w:t>O Tesouro SELIC possui fluxo de pagamento simples pós-fixado pela variação da taxa SELIC.</w:t>
      </w:r>
    </w:p>
    <w:p w14:paraId="1D7F2B8E" w14:textId="77777777" w:rsidR="00E601D4" w:rsidRPr="00297E43" w:rsidRDefault="00E601D4" w:rsidP="00E601D4">
      <w:pPr>
        <w:rPr>
          <w:color w:val="auto"/>
        </w:rPr>
      </w:pPr>
      <w:r w:rsidRPr="00297E43">
        <w:rPr>
          <w:color w:val="auto"/>
        </w:rPr>
        <w:t xml:space="preserve">O valor projetado a ser pago pelo título, é o valor na data base, corrigido pela taxa acumulada da SELIC até o dia de compra, mais uma correção da taxa SELIC meta para dia da liquidação do título. </w:t>
      </w:r>
      <w:r w:rsidR="00002414" w:rsidRPr="00297E43">
        <w:rPr>
          <w:color w:val="auto"/>
        </w:rPr>
        <w:t>Sendo seu cálculo:</w:t>
      </w:r>
    </w:p>
    <w:p w14:paraId="32B6A394" w14:textId="77777777" w:rsidR="00002414" w:rsidRPr="00297E43" w:rsidRDefault="00002414" w:rsidP="00002414">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e>
              </m:d>
            </m:e>
            <m:sup>
              <m:r>
                <w:rPr>
                  <w:rFonts w:ascii="Cambria Math" w:hAnsi="Cambria Math"/>
                  <w:color w:val="auto"/>
                </w:rPr>
                <m:t>1/252</m:t>
              </m:r>
            </m:sup>
          </m:sSup>
        </m:oMath>
      </m:oMathPara>
    </w:p>
    <w:p w14:paraId="23AE3910" w14:textId="77777777" w:rsidR="00002414" w:rsidRPr="00297E43" w:rsidRDefault="00002414" w:rsidP="00E601D4">
      <w:pPr>
        <w:rPr>
          <w:color w:val="auto"/>
        </w:rPr>
      </w:pPr>
    </w:p>
    <w:p w14:paraId="6DCFDB8C" w14:textId="77777777" w:rsidR="00002414" w:rsidRPr="00297E43" w:rsidRDefault="00002414" w:rsidP="00E601D4">
      <w:pPr>
        <w:rPr>
          <w:color w:val="auto"/>
        </w:rPr>
      </w:pPr>
      <w:r w:rsidRPr="00297E43">
        <w:rPr>
          <w:color w:val="auto"/>
        </w:rPr>
        <w:t>Onde:</w:t>
      </w:r>
    </w:p>
    <w:p w14:paraId="5A2687AA" w14:textId="77777777" w:rsidR="00002414" w:rsidRPr="00297E43" w:rsidRDefault="00002414" w:rsidP="00B829E0">
      <w:pPr>
        <w:spacing w:after="0"/>
        <w:ind w:left="1134"/>
        <w:rPr>
          <w:rFonts w:eastAsiaTheme="minorEastAsia"/>
          <w:color w:val="auto"/>
        </w:rPr>
      </w:pPr>
      <m:oMath>
        <m:r>
          <w:rPr>
            <w:rFonts w:ascii="Cambria Math" w:hAnsi="Cambria Math"/>
            <w:color w:val="auto"/>
          </w:rPr>
          <m:t>VNA</m:t>
        </m:r>
      </m:oMath>
      <w:r w:rsidRPr="00297E43">
        <w:rPr>
          <w:rFonts w:eastAsiaTheme="minorEastAsia"/>
          <w:color w:val="auto"/>
        </w:rPr>
        <w:t xml:space="preserve"> = Valor Nominal Atualizado</w:t>
      </w:r>
    </w:p>
    <w:p w14:paraId="132F5DB3" w14:textId="77777777" w:rsidR="00002414" w:rsidRPr="00297E43" w:rsidRDefault="00EF6A92"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002414" w:rsidRPr="00297E43">
        <w:rPr>
          <w:rFonts w:eastAsiaTheme="minorEastAsia"/>
          <w:color w:val="auto"/>
        </w:rPr>
        <w:t xml:space="preserve"> = Valor Nominal Atualizado na data da compra</w:t>
      </w:r>
    </w:p>
    <w:p w14:paraId="1B2A66CF" w14:textId="77777777" w:rsidR="00002414" w:rsidRPr="00297E43" w:rsidRDefault="00EF6A92"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oMath>
      <w:r w:rsidR="00002414" w:rsidRPr="00297E43">
        <w:rPr>
          <w:rFonts w:eastAsiaTheme="minorEastAsia"/>
          <w:color w:val="auto"/>
        </w:rPr>
        <w:t xml:space="preserve"> = Inflação atualizada</w:t>
      </w:r>
    </w:p>
    <w:p w14:paraId="44B6D151" w14:textId="77777777" w:rsidR="00002414" w:rsidRPr="00297E43" w:rsidRDefault="00002414" w:rsidP="005B5E5B">
      <w:pPr>
        <w:spacing w:after="240"/>
        <w:ind w:left="708"/>
        <w:rPr>
          <w:b/>
          <w:i/>
          <w:color w:val="auto"/>
        </w:rPr>
      </w:pPr>
      <w:r w:rsidRPr="00297E43">
        <w:rPr>
          <w:b/>
          <w:i/>
          <w:color w:val="auto"/>
        </w:rPr>
        <w:t>Tesouro Prefixado – LTN</w:t>
      </w:r>
    </w:p>
    <w:p w14:paraId="3488DA28" w14:textId="77777777" w:rsidR="00002414" w:rsidRPr="00297E43" w:rsidRDefault="00002414" w:rsidP="00002414">
      <w:pPr>
        <w:rPr>
          <w:color w:val="auto"/>
        </w:rPr>
      </w:pPr>
      <w:r w:rsidRPr="00297E43">
        <w:rPr>
          <w:color w:val="auto"/>
        </w:rPr>
        <w:t>A LTN é um título prefixado, ou seja, sua rentabilidade é definida no momento da compra, que não faz pagamentos semestrais. A rentabilidade é calculada pela diferença entre o preço de compra do título e seu valor nominal no vencimento, R$ 1.000,00.</w:t>
      </w:r>
    </w:p>
    <w:p w14:paraId="0126002F" w14:textId="77777777" w:rsidR="00002414" w:rsidRPr="00297E43" w:rsidRDefault="00002414" w:rsidP="00002414">
      <w:pPr>
        <w:rPr>
          <w:color w:val="auto"/>
        </w:rPr>
      </w:pPr>
      <w:r w:rsidRPr="00297E43">
        <w:rPr>
          <w:color w:val="auto"/>
        </w:rPr>
        <w:t>A partir da diferença entre o preço de compra e o de venda, é possível determinar a taxa de rendimento. Essa taxa pode ser calculada de duas formas:</w:t>
      </w:r>
    </w:p>
    <w:p w14:paraId="29E1C1C6" w14:textId="77777777" w:rsidR="00002414" w:rsidRPr="00297E43"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r>
                <w:rPr>
                  <w:rFonts w:ascii="Cambria Math" w:hAnsi="Cambria Math"/>
                  <w:color w:val="auto"/>
                </w:rPr>
                <m:t>-1</m:t>
              </m:r>
            </m:e>
          </m:d>
          <m:r>
            <w:rPr>
              <w:rFonts w:ascii="Cambria Math" w:hAnsi="Cambria Math"/>
              <w:color w:val="auto"/>
            </w:rPr>
            <m:t>*100</m:t>
          </m:r>
        </m:oMath>
      </m:oMathPara>
    </w:p>
    <w:p w14:paraId="54D39355" w14:textId="77777777" w:rsidR="00002414" w:rsidRPr="00297E43" w:rsidRDefault="005005B1" w:rsidP="00002414">
      <w:pPr>
        <w:rPr>
          <w:rFonts w:eastAsiaTheme="minorEastAsia"/>
          <w:color w:val="auto"/>
        </w:rPr>
      </w:pPr>
      <w:r w:rsidRPr="00297E43">
        <w:rPr>
          <w:rFonts w:eastAsiaTheme="minorEastAsia"/>
          <w:color w:val="auto"/>
        </w:rPr>
        <w:t>Onde:</w:t>
      </w:r>
    </w:p>
    <w:p w14:paraId="53C81761" w14:textId="77777777" w:rsidR="005005B1" w:rsidRPr="00297E43" w:rsidRDefault="005005B1" w:rsidP="004D7769">
      <w:pPr>
        <w:spacing w:after="0"/>
        <w:ind w:left="1134"/>
        <w:rPr>
          <w:rFonts w:eastAsiaTheme="minorEastAsia"/>
          <w:color w:val="auto"/>
        </w:rPr>
      </w:pPr>
      <m:oMath>
        <m:r>
          <w:rPr>
            <w:rFonts w:ascii="Cambria Math" w:hAnsi="Cambria Math"/>
            <w:color w:val="auto"/>
          </w:rPr>
          <m:t>Taxa Efetiva no Período</m:t>
        </m:r>
      </m:oMath>
      <w:r w:rsidRPr="00297E43">
        <w:rPr>
          <w:rFonts w:eastAsiaTheme="minorEastAsia"/>
          <w:color w:val="auto"/>
        </w:rPr>
        <w:t xml:space="preserve"> = Taxa negociada no momento da compra</w:t>
      </w:r>
    </w:p>
    <w:p w14:paraId="3E35D12F" w14:textId="77777777" w:rsidR="005005B1" w:rsidRPr="00297E43" w:rsidRDefault="005005B1" w:rsidP="004D7769">
      <w:pPr>
        <w:spacing w:after="0"/>
        <w:ind w:left="1134"/>
        <w:rPr>
          <w:rFonts w:eastAsiaTheme="minorEastAsia"/>
          <w:color w:val="auto"/>
        </w:rPr>
      </w:pPr>
      <m:oMath>
        <m:r>
          <w:rPr>
            <w:rFonts w:ascii="Cambria Math" w:eastAsiaTheme="minorEastAsia" w:hAnsi="Cambria Math"/>
            <w:color w:val="auto"/>
          </w:rPr>
          <m:t>Valor de Venda</m:t>
        </m:r>
      </m:oMath>
      <w:r w:rsidRPr="00297E43">
        <w:rPr>
          <w:rFonts w:eastAsiaTheme="minorEastAsia"/>
          <w:color w:val="auto"/>
        </w:rPr>
        <w:t xml:space="preserve"> = Valor de negociação do Título Público na data final</w:t>
      </w:r>
    </w:p>
    <w:p w14:paraId="31A6D5F6" w14:textId="77777777" w:rsidR="005005B1" w:rsidRPr="00297E43" w:rsidRDefault="005005B1" w:rsidP="00B829E0">
      <w:pPr>
        <w:ind w:left="1134"/>
        <w:rPr>
          <w:rFonts w:eastAsiaTheme="minorEastAsia"/>
          <w:color w:val="auto"/>
        </w:rPr>
      </w:pPr>
      <m:oMath>
        <m:r>
          <w:rPr>
            <w:rFonts w:ascii="Cambria Math" w:eastAsiaTheme="minorEastAsia" w:hAnsi="Cambria Math"/>
            <w:color w:val="auto"/>
          </w:rPr>
          <m:t>Valor de Compra</m:t>
        </m:r>
      </m:oMath>
      <w:r w:rsidRPr="00297E43">
        <w:rPr>
          <w:rFonts w:eastAsiaTheme="minorEastAsia"/>
          <w:color w:val="auto"/>
        </w:rPr>
        <w:t xml:space="preserve"> = Valor de negociação do Título na aquisição</w:t>
      </w:r>
    </w:p>
    <w:p w14:paraId="686B08B2" w14:textId="77777777" w:rsidR="00002414" w:rsidRPr="00297E43" w:rsidRDefault="00002414" w:rsidP="00002414">
      <w:pPr>
        <w:rPr>
          <w:color w:val="auto"/>
        </w:rPr>
      </w:pPr>
      <w:r w:rsidRPr="00297E43">
        <w:rPr>
          <w:color w:val="auto"/>
        </w:rPr>
        <w:t>Ou, tendo como base um ano de 252 dias úteis:</w:t>
      </w:r>
    </w:p>
    <w:p w14:paraId="6D3975B2" w14:textId="77777777" w:rsidR="00002414" w:rsidRPr="00297E43"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sSup>
                <m:sSupPr>
                  <m:ctrlPr>
                    <w:rPr>
                      <w:rFonts w:ascii="Cambria Math" w:hAnsi="Cambria Math"/>
                      <w:i/>
                      <w:color w:val="auto"/>
                    </w:rPr>
                  </m:ctrlPr>
                </m:sSupPr>
                <m:e>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e>
                  </m:d>
                </m:e>
                <m:sup>
                  <m:f>
                    <m:fPr>
                      <m:ctrlPr>
                        <w:rPr>
                          <w:rFonts w:ascii="Cambria Math" w:hAnsi="Cambria Math"/>
                          <w:i/>
                          <w:color w:val="auto"/>
                        </w:rPr>
                      </m:ctrlPr>
                    </m:fPr>
                    <m:num>
                      <m:r>
                        <w:rPr>
                          <w:rFonts w:ascii="Cambria Math" w:hAnsi="Cambria Math"/>
                          <w:color w:val="auto"/>
                        </w:rPr>
                        <m:t>252</m:t>
                      </m:r>
                    </m:num>
                    <m:den>
                      <m:r>
                        <w:rPr>
                          <w:rFonts w:ascii="Cambria Math" w:hAnsi="Cambria Math"/>
                          <w:color w:val="auto"/>
                        </w:rPr>
                        <m:t>dias úteis no período</m:t>
                      </m:r>
                    </m:den>
                  </m:f>
                </m:sup>
              </m:sSup>
              <m:r>
                <w:rPr>
                  <w:rFonts w:ascii="Cambria Math" w:hAnsi="Cambria Math"/>
                  <w:color w:val="auto"/>
                </w:rPr>
                <m:t>-1</m:t>
              </m:r>
            </m:e>
          </m:d>
          <m:r>
            <w:rPr>
              <w:rFonts w:ascii="Cambria Math" w:hAnsi="Cambria Math"/>
              <w:color w:val="auto"/>
            </w:rPr>
            <m:t>*100</m:t>
          </m:r>
        </m:oMath>
      </m:oMathPara>
    </w:p>
    <w:p w14:paraId="5065101F" w14:textId="77777777" w:rsidR="005005B1" w:rsidRPr="00297E43" w:rsidRDefault="005005B1" w:rsidP="005005B1">
      <w:pPr>
        <w:rPr>
          <w:color w:val="auto"/>
        </w:rPr>
      </w:pPr>
      <w:r w:rsidRPr="00297E43">
        <w:rPr>
          <w:color w:val="auto"/>
        </w:rPr>
        <w:t>Onde:</w:t>
      </w:r>
    </w:p>
    <w:p w14:paraId="502842D0" w14:textId="77777777" w:rsidR="005005B1" w:rsidRPr="00297E43" w:rsidRDefault="005005B1" w:rsidP="004D7769">
      <w:pPr>
        <w:spacing w:after="0"/>
        <w:ind w:left="1134"/>
        <w:rPr>
          <w:rFonts w:eastAsiaTheme="minorEastAsia"/>
          <w:color w:val="auto"/>
        </w:rPr>
      </w:pPr>
      <m:oMath>
        <m:r>
          <w:rPr>
            <w:rFonts w:ascii="Cambria Math" w:hAnsi="Cambria Math"/>
            <w:color w:val="auto"/>
          </w:rPr>
          <m:t>Taxa Efetiva no Período</m:t>
        </m:r>
      </m:oMath>
      <w:r w:rsidRPr="00297E43">
        <w:rPr>
          <w:rFonts w:eastAsiaTheme="minorEastAsia"/>
          <w:color w:val="auto"/>
        </w:rPr>
        <w:t xml:space="preserve"> = Taxa negociada no momento da compra</w:t>
      </w:r>
    </w:p>
    <w:p w14:paraId="3397FF54" w14:textId="77777777" w:rsidR="005005B1" w:rsidRPr="00297E43" w:rsidRDefault="005005B1" w:rsidP="004D7769">
      <w:pPr>
        <w:spacing w:after="0"/>
        <w:ind w:left="1134"/>
        <w:rPr>
          <w:rFonts w:eastAsiaTheme="minorEastAsia"/>
          <w:color w:val="auto"/>
        </w:rPr>
      </w:pPr>
      <m:oMath>
        <m:r>
          <w:rPr>
            <w:rFonts w:ascii="Cambria Math" w:eastAsiaTheme="minorEastAsia" w:hAnsi="Cambria Math"/>
            <w:color w:val="auto"/>
          </w:rPr>
          <m:t>Valor de Venda</m:t>
        </m:r>
      </m:oMath>
      <w:r w:rsidRPr="00297E43">
        <w:rPr>
          <w:rFonts w:eastAsiaTheme="minorEastAsia"/>
          <w:color w:val="auto"/>
        </w:rPr>
        <w:t xml:space="preserve"> = Valor de negociação do Título Público na data final</w:t>
      </w:r>
    </w:p>
    <w:p w14:paraId="692B0438" w14:textId="77777777" w:rsidR="005005B1" w:rsidRPr="00297E43" w:rsidRDefault="005005B1" w:rsidP="00B829E0">
      <w:pPr>
        <w:ind w:left="1134"/>
        <w:rPr>
          <w:rFonts w:eastAsiaTheme="minorEastAsia"/>
          <w:color w:val="auto"/>
        </w:rPr>
      </w:pPr>
      <m:oMath>
        <m:r>
          <w:rPr>
            <w:rFonts w:ascii="Cambria Math" w:eastAsiaTheme="minorEastAsia" w:hAnsi="Cambria Math"/>
            <w:color w:val="auto"/>
          </w:rPr>
          <m:t>Valor de Compra</m:t>
        </m:r>
      </m:oMath>
      <w:r w:rsidRPr="00297E43">
        <w:rPr>
          <w:rFonts w:eastAsiaTheme="minorEastAsia"/>
          <w:color w:val="auto"/>
        </w:rPr>
        <w:t xml:space="preserve"> = Valor de negociação do Título na aquisição</w:t>
      </w:r>
    </w:p>
    <w:p w14:paraId="324DB5DB" w14:textId="77777777" w:rsidR="00002414" w:rsidRPr="00297E43" w:rsidRDefault="00002414" w:rsidP="005B5E5B">
      <w:pPr>
        <w:spacing w:after="240"/>
        <w:ind w:left="708"/>
        <w:rPr>
          <w:b/>
          <w:i/>
          <w:color w:val="auto"/>
        </w:rPr>
      </w:pPr>
      <w:r w:rsidRPr="00297E43">
        <w:rPr>
          <w:b/>
          <w:i/>
          <w:color w:val="auto"/>
        </w:rPr>
        <w:t>Tesouro Prefixado com Juros Semestrais – NTN-F</w:t>
      </w:r>
    </w:p>
    <w:p w14:paraId="6A466068" w14:textId="77777777" w:rsidR="00002414" w:rsidRPr="00297E43" w:rsidRDefault="004F4596" w:rsidP="00002414">
      <w:pPr>
        <w:rPr>
          <w:color w:val="auto"/>
        </w:rPr>
      </w:pPr>
      <w:r w:rsidRPr="00297E43">
        <w:rPr>
          <w:color w:val="auto"/>
        </w:rPr>
        <w:t>Na NTN-F ocorre uma situação semelhante a NTN-B, com pagamentos semestrais de juros só que com a taxa pré-fixada e pagamento do último cupom ocorre no vencimento do título, juntamente com o resgate do valor de face.</w:t>
      </w:r>
    </w:p>
    <w:p w14:paraId="28ED6B6C" w14:textId="77777777" w:rsidR="00362EC1" w:rsidRPr="00297E43" w:rsidRDefault="00362EC1" w:rsidP="00002414">
      <w:pPr>
        <w:rPr>
          <w:color w:val="auto"/>
        </w:rPr>
      </w:pPr>
      <w:r w:rsidRPr="00297E43">
        <w:rPr>
          <w:color w:val="auto"/>
        </w:rPr>
        <w:t>A rentabilidade do Tesouro Pré-fixado com Juros Semestrais pode ser calculada segundo a equação:</w:t>
      </w:r>
    </w:p>
    <w:p w14:paraId="373EC874" w14:textId="77777777" w:rsidR="00062EFA" w:rsidRPr="00297E43" w:rsidRDefault="00062EFA" w:rsidP="00002414">
      <w:pPr>
        <w:rPr>
          <w:rFonts w:eastAsiaTheme="minorEastAsia"/>
          <w:color w:val="auto"/>
        </w:rPr>
      </w:pPr>
      <m:oMathPara>
        <m:oMath>
          <m:r>
            <w:rPr>
              <w:rFonts w:ascii="Cambria Math" w:hAnsi="Cambria Math"/>
              <w:color w:val="auto"/>
            </w:rPr>
            <w:lastRenderedPageBreak/>
            <m:t xml:space="preserve">Preço= </m:t>
          </m:r>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m:t>
              </m:r>
            </m:sup>
            <m:e>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1,10</m:t>
                              </m:r>
                            </m:e>
                          </m:d>
                        </m:e>
                        <m:sup>
                          <m:r>
                            <w:rPr>
                              <w:rFonts w:ascii="Cambria Math" w:hAnsi="Cambria Math"/>
                              <w:color w:val="auto"/>
                            </w:rPr>
                            <m:t>0,5</m:t>
                          </m:r>
                        </m:sup>
                      </m:sSup>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e>
          </m:nary>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oMath>
      </m:oMathPara>
    </w:p>
    <w:p w14:paraId="7E9CE925" w14:textId="77777777" w:rsidR="00062EFA" w:rsidRPr="00297E43" w:rsidRDefault="00062EFA" w:rsidP="00002414">
      <w:pPr>
        <w:rPr>
          <w:color w:val="auto"/>
        </w:rPr>
      </w:pPr>
      <w:r w:rsidRPr="00297E43">
        <w:rPr>
          <w:color w:val="auto"/>
        </w:rPr>
        <w:t>Em que DU</w:t>
      </w:r>
      <w:r w:rsidRPr="00297E43">
        <w:rPr>
          <w:i/>
          <w:color w:val="auto"/>
        </w:rPr>
        <w:t>n</w:t>
      </w:r>
      <w:r w:rsidRPr="00297E43">
        <w:rPr>
          <w:color w:val="auto"/>
        </w:rPr>
        <w:t xml:space="preserve"> é o número de dias úteis do período e TIR é a rentabilidade anual do título.</w:t>
      </w:r>
    </w:p>
    <w:p w14:paraId="64A93CEE" w14:textId="77777777" w:rsidR="00E430FC" w:rsidRPr="00297E43" w:rsidRDefault="00E430FC" w:rsidP="005B5E5B">
      <w:pPr>
        <w:spacing w:after="240"/>
        <w:ind w:left="708"/>
        <w:rPr>
          <w:b/>
          <w:i/>
          <w:color w:val="auto"/>
        </w:rPr>
      </w:pPr>
      <w:r w:rsidRPr="00297E43">
        <w:rPr>
          <w:b/>
          <w:i/>
          <w:color w:val="auto"/>
        </w:rPr>
        <w:t>Tesouro IGPM com Juros Semestrais – NTN-C</w:t>
      </w:r>
    </w:p>
    <w:p w14:paraId="4B93667A" w14:textId="77777777" w:rsidR="00E430FC" w:rsidRPr="00297E43" w:rsidRDefault="00E430FC" w:rsidP="00E430FC">
      <w:pPr>
        <w:rPr>
          <w:color w:val="auto"/>
        </w:rPr>
      </w:pPr>
      <w:r w:rsidRPr="00297E43">
        <w:rPr>
          <w:color w:val="auto"/>
        </w:rPr>
        <w:t>A NTN-C tem funcionamento parecido com NTN-B, com a diferença no indexador, pois utiliza o IGP-M ao invés de IPCA. Atualmente, as NTN-C não são ofertadas no Tesouro Direto sendo apenas recomprado pelo Tesouro Nacional.</w:t>
      </w:r>
    </w:p>
    <w:p w14:paraId="70CF455D" w14:textId="77777777" w:rsidR="00E430FC" w:rsidRPr="00297E43" w:rsidRDefault="00E430FC" w:rsidP="00E430FC">
      <w:pPr>
        <w:rPr>
          <w:color w:val="auto"/>
        </w:rPr>
      </w:pPr>
      <w:r w:rsidRPr="00297E43">
        <w:rPr>
          <w:color w:val="auto"/>
        </w:rPr>
        <w:t>O VNA desse título pode ser calculado pela equação</w:t>
      </w:r>
      <w:r w:rsidR="00BF442A" w:rsidRPr="00297E43">
        <w:rPr>
          <w:color w:val="auto"/>
        </w:rPr>
        <w:t>:</w:t>
      </w:r>
    </w:p>
    <w:p w14:paraId="5AA4E1F7" w14:textId="77777777" w:rsidR="00BF442A" w:rsidRPr="00297E43" w:rsidRDefault="00BF442A" w:rsidP="00BF442A">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IGPM</m:t>
                      </m:r>
                    </m:e>
                    <m:sub>
                      <m:r>
                        <w:rPr>
                          <w:rFonts w:ascii="Cambria Math" w:hAnsi="Cambria Math"/>
                          <w:color w:val="auto"/>
                        </w:rPr>
                        <m:t>projetado</m:t>
                      </m:r>
                    </m:sub>
                  </m:sSub>
                </m:e>
              </m:d>
            </m:e>
            <m:sup>
              <m:r>
                <w:rPr>
                  <w:rFonts w:ascii="Cambria Math" w:hAnsi="Cambria Math"/>
                  <w:color w:val="auto"/>
                </w:rPr>
                <m:t>N1/N2</m:t>
              </m:r>
            </m:sup>
          </m:sSup>
        </m:oMath>
      </m:oMathPara>
    </w:p>
    <w:p w14:paraId="027DB134" w14:textId="77777777" w:rsidR="00BF442A" w:rsidRPr="00297E43" w:rsidRDefault="00BF442A" w:rsidP="00E430FC">
      <w:pPr>
        <w:rPr>
          <w:color w:val="auto"/>
        </w:rPr>
      </w:pPr>
      <w:r w:rsidRPr="00297E43">
        <w:rPr>
          <w:color w:val="auto"/>
        </w:rPr>
        <w:t>Onde N1 representa o número de dias corridos entre data de liquidação e primeiro do mês atual e N2 sendo o número de dias corridos entre o dia primeiro do mês seguinte e o primeiro mês atual.</w:t>
      </w:r>
    </w:p>
    <w:p w14:paraId="2B03BDA8" w14:textId="77777777" w:rsidR="00802D06" w:rsidRPr="00297E43" w:rsidRDefault="00802D06" w:rsidP="00E430FC">
      <w:pPr>
        <w:rPr>
          <w:color w:val="auto"/>
        </w:rPr>
      </w:pPr>
      <w:r w:rsidRPr="00297E43">
        <w:rPr>
          <w:color w:val="auto"/>
        </w:rPr>
        <w:t>Como metodologia final de apuração para os Títulos Públicos que apresentam o valor nominal atualizado, finaliza-se a apuraç</w:t>
      </w:r>
      <w:r w:rsidR="00190244" w:rsidRPr="00297E43">
        <w:rPr>
          <w:color w:val="auto"/>
        </w:rPr>
        <w:t>ão nos</w:t>
      </w:r>
      <w:r w:rsidRPr="00297E43">
        <w:rPr>
          <w:color w:val="auto"/>
        </w:rPr>
        <w:t xml:space="preserve"> seguinte</w:t>
      </w:r>
      <w:r w:rsidR="00190244" w:rsidRPr="00297E43">
        <w:rPr>
          <w:color w:val="auto"/>
        </w:rPr>
        <w:t>s passos</w:t>
      </w:r>
      <w:r w:rsidRPr="00297E43">
        <w:rPr>
          <w:color w:val="auto"/>
        </w:rPr>
        <w:t>:</w:t>
      </w:r>
    </w:p>
    <w:p w14:paraId="498F9E7D" w14:textId="77777777" w:rsidR="00190244" w:rsidRPr="00297E43" w:rsidRDefault="00190244" w:rsidP="00E430FC">
      <w:pPr>
        <w:rPr>
          <w:color w:val="auto"/>
        </w:rPr>
      </w:pPr>
      <w:r w:rsidRPr="00297E43">
        <w:rPr>
          <w:color w:val="auto"/>
        </w:rPr>
        <w:t>(i) identificação da cotação:</w:t>
      </w:r>
    </w:p>
    <w:p w14:paraId="25C004B1" w14:textId="77777777" w:rsidR="00802D06" w:rsidRPr="00297E43" w:rsidRDefault="00190244" w:rsidP="00E430FC">
      <w:pPr>
        <w:rPr>
          <w:rFonts w:eastAsiaTheme="minorEastAsia"/>
          <w:color w:val="auto"/>
        </w:rPr>
      </w:pPr>
      <m:oMathPara>
        <m:oMath>
          <m:r>
            <w:rPr>
              <w:rFonts w:ascii="Cambria Math" w:hAnsi="Cambria Math"/>
              <w:color w:val="auto"/>
            </w:rPr>
            <m:t xml:space="preserve">Cotação= </m:t>
          </m:r>
          <m:f>
            <m:fPr>
              <m:ctrlPr>
                <w:rPr>
                  <w:rFonts w:ascii="Cambria Math" w:hAnsi="Cambria Math"/>
                  <w:i/>
                  <w:color w:val="auto"/>
                </w:rPr>
              </m:ctrlPr>
            </m:fPr>
            <m:num>
              <m:r>
                <w:rPr>
                  <w:rFonts w:ascii="Cambria Math" w:hAnsi="Cambria Math"/>
                  <w:color w:val="auto"/>
                </w:rPr>
                <m:t>100</m:t>
              </m:r>
            </m:num>
            <m:den>
              <m:sSup>
                <m:sSupPr>
                  <m:ctrlPr>
                    <w:rPr>
                      <w:rFonts w:ascii="Cambria Math" w:hAnsi="Cambria Math"/>
                      <w:i/>
                      <w:color w:val="auto"/>
                    </w:rPr>
                  </m:ctrlPr>
                </m:sSupPr>
                <m:e>
                  <m:r>
                    <w:rPr>
                      <w:rFonts w:ascii="Cambria Math" w:hAnsi="Cambria Math"/>
                      <w:color w:val="auto"/>
                    </w:rPr>
                    <m:t>(1+Taxa)</m:t>
                  </m:r>
                </m:e>
                <m:sup>
                  <m:f>
                    <m:fPr>
                      <m:ctrlPr>
                        <w:rPr>
                          <w:rFonts w:ascii="Cambria Math" w:hAnsi="Cambria Math"/>
                          <w:i/>
                          <w:color w:val="auto"/>
                        </w:rPr>
                      </m:ctrlPr>
                    </m:fPr>
                    <m:num>
                      <m:r>
                        <w:rPr>
                          <w:rFonts w:ascii="Cambria Math" w:hAnsi="Cambria Math"/>
                          <w:color w:val="auto"/>
                        </w:rPr>
                        <m:t>DU</m:t>
                      </m:r>
                    </m:num>
                    <m:den>
                      <m:r>
                        <w:rPr>
                          <w:rFonts w:ascii="Cambria Math" w:hAnsi="Cambria Math"/>
                          <w:color w:val="auto"/>
                        </w:rPr>
                        <m:t>252</m:t>
                      </m:r>
                    </m:den>
                  </m:f>
                </m:sup>
              </m:sSup>
            </m:den>
          </m:f>
        </m:oMath>
      </m:oMathPara>
    </w:p>
    <w:p w14:paraId="5280C7A0" w14:textId="77777777" w:rsidR="00190244" w:rsidRPr="00297E43" w:rsidRDefault="00190244" w:rsidP="00E430FC">
      <w:pPr>
        <w:rPr>
          <w:rFonts w:eastAsiaTheme="minorEastAsia"/>
          <w:color w:val="auto"/>
        </w:rPr>
      </w:pPr>
      <w:r w:rsidRPr="00297E43">
        <w:rPr>
          <w:rFonts w:eastAsiaTheme="minorEastAsia"/>
          <w:color w:val="auto"/>
        </w:rPr>
        <w:t>Onde:</w:t>
      </w:r>
    </w:p>
    <w:p w14:paraId="31773059" w14:textId="77777777" w:rsidR="00190244" w:rsidRPr="00297E43" w:rsidRDefault="00190244" w:rsidP="004D7769">
      <w:pPr>
        <w:spacing w:after="0"/>
        <w:ind w:left="1134"/>
        <w:rPr>
          <w:rFonts w:eastAsiaTheme="minorEastAsia"/>
          <w:color w:val="auto"/>
        </w:rPr>
      </w:pPr>
      <m:oMath>
        <m:r>
          <w:rPr>
            <w:rFonts w:ascii="Cambria Math" w:hAnsi="Cambria Math"/>
            <w:color w:val="auto"/>
          </w:rPr>
          <m:t>Cotação</m:t>
        </m:r>
      </m:oMath>
      <w:r w:rsidRPr="00297E43">
        <w:rPr>
          <w:rFonts w:eastAsiaTheme="minorEastAsia"/>
          <w:color w:val="auto"/>
        </w:rPr>
        <w:t xml:space="preserve"> = é o valor unitário apresentado em um dia</w:t>
      </w:r>
    </w:p>
    <w:p w14:paraId="44869D66" w14:textId="77777777" w:rsidR="00190244" w:rsidRPr="00297E43" w:rsidRDefault="00190244" w:rsidP="00B829E0">
      <w:pPr>
        <w:ind w:left="1134"/>
        <w:rPr>
          <w:rFonts w:eastAsiaTheme="minorEastAsia"/>
          <w:color w:val="auto"/>
        </w:rPr>
      </w:pPr>
      <m:oMath>
        <m:r>
          <w:rPr>
            <w:rFonts w:ascii="Cambria Math" w:eastAsiaTheme="minorEastAsia" w:hAnsi="Cambria Math"/>
            <w:color w:val="auto"/>
          </w:rPr>
          <m:t>Taxa</m:t>
        </m:r>
      </m:oMath>
      <w:r w:rsidRPr="00297E43">
        <w:rPr>
          <w:rFonts w:eastAsiaTheme="minorEastAsia"/>
          <w:color w:val="auto"/>
        </w:rPr>
        <w:t xml:space="preserve"> = taxa de negociação ou compra o Título Público Federal</w:t>
      </w:r>
    </w:p>
    <w:p w14:paraId="7B512E70" w14:textId="77777777" w:rsidR="00190244" w:rsidRPr="00297E43" w:rsidRDefault="00190244" w:rsidP="00190244">
      <w:pPr>
        <w:rPr>
          <w:color w:val="auto"/>
        </w:rPr>
      </w:pPr>
      <w:r w:rsidRPr="00297E43">
        <w:rPr>
          <w:color w:val="auto"/>
        </w:rPr>
        <w:t>(ii) identificação do preço atual:</w:t>
      </w:r>
    </w:p>
    <w:p w14:paraId="746F7D77" w14:textId="77777777" w:rsidR="00190244" w:rsidRPr="00297E43" w:rsidRDefault="00190244" w:rsidP="00190244">
      <w:pPr>
        <w:rPr>
          <w:rFonts w:eastAsiaTheme="minorEastAsia"/>
          <w:color w:val="auto"/>
        </w:rPr>
      </w:pPr>
      <m:oMathPara>
        <m:oMathParaPr>
          <m:jc m:val="center"/>
        </m:oMathParaPr>
        <m:oMath>
          <m:r>
            <w:rPr>
              <w:rFonts w:ascii="Cambria Math" w:eastAsiaTheme="minorEastAsia" w:hAnsi="Cambria Math"/>
              <w:color w:val="auto"/>
            </w:rPr>
            <m:t xml:space="preserve">Preço= VNA* </m:t>
          </m:r>
          <m:d>
            <m:dPr>
              <m:begChr m:val="["/>
              <m:endChr m:val="]"/>
              <m:ctrlPr>
                <w:rPr>
                  <w:rFonts w:ascii="Cambria Math" w:eastAsiaTheme="minorEastAsia" w:hAnsi="Cambria Math"/>
                  <w:i/>
                  <w:color w:val="auto"/>
                </w:rPr>
              </m:ctrlPr>
            </m:dPr>
            <m:e>
              <m:f>
                <m:fPr>
                  <m:ctrlPr>
                    <w:rPr>
                      <w:rFonts w:ascii="Cambria Math" w:eastAsiaTheme="minorEastAsia" w:hAnsi="Cambria Math"/>
                      <w:i/>
                      <w:color w:val="auto"/>
                    </w:rPr>
                  </m:ctrlPr>
                </m:fPr>
                <m:num>
                  <m:r>
                    <w:rPr>
                      <w:rFonts w:ascii="Cambria Math" w:eastAsiaTheme="minorEastAsia" w:hAnsi="Cambria Math"/>
                      <w:color w:val="auto"/>
                    </w:rPr>
                    <m:t>Cotação</m:t>
                  </m:r>
                </m:num>
                <m:den>
                  <m:r>
                    <w:rPr>
                      <w:rFonts w:ascii="Cambria Math" w:eastAsiaTheme="minorEastAsia" w:hAnsi="Cambria Math"/>
                      <w:color w:val="auto"/>
                    </w:rPr>
                    <m:t>100</m:t>
                  </m:r>
                </m:den>
              </m:f>
            </m:e>
          </m:d>
        </m:oMath>
      </m:oMathPara>
    </w:p>
    <w:p w14:paraId="742D24F4" w14:textId="77777777" w:rsidR="00190244" w:rsidRPr="00297E43" w:rsidRDefault="00190244" w:rsidP="00190244">
      <w:pPr>
        <w:rPr>
          <w:rFonts w:eastAsiaTheme="minorEastAsia"/>
          <w:color w:val="auto"/>
        </w:rPr>
      </w:pPr>
      <w:r w:rsidRPr="00297E43">
        <w:rPr>
          <w:rFonts w:eastAsiaTheme="minorEastAsia"/>
          <w:color w:val="auto"/>
        </w:rPr>
        <w:t>Onde:</w:t>
      </w:r>
    </w:p>
    <w:p w14:paraId="02EFA60C" w14:textId="77777777" w:rsidR="00190244" w:rsidRPr="00297E43" w:rsidRDefault="00190244" w:rsidP="004D7769">
      <w:pPr>
        <w:spacing w:after="0"/>
        <w:ind w:left="1134"/>
        <w:rPr>
          <w:rFonts w:eastAsiaTheme="minorEastAsia"/>
          <w:color w:val="auto"/>
        </w:rPr>
      </w:pPr>
      <m:oMath>
        <m:r>
          <w:rPr>
            <w:rFonts w:ascii="Cambria Math" w:eastAsiaTheme="minorEastAsia" w:hAnsi="Cambria Math"/>
            <w:color w:val="auto"/>
          </w:rPr>
          <m:t>Preço</m:t>
        </m:r>
      </m:oMath>
      <w:r w:rsidRPr="00297E43">
        <w:rPr>
          <w:rFonts w:eastAsiaTheme="minorEastAsia"/>
          <w:color w:val="auto"/>
        </w:rPr>
        <w:t xml:space="preserve"> = valor unitário do Título Público Federal</w:t>
      </w:r>
    </w:p>
    <w:p w14:paraId="3EC1C226" w14:textId="77777777" w:rsidR="00190244" w:rsidRPr="00297E43" w:rsidRDefault="00190244" w:rsidP="004D7769">
      <w:pPr>
        <w:spacing w:after="0"/>
        <w:ind w:left="1134"/>
        <w:rPr>
          <w:rFonts w:eastAsiaTheme="minorEastAsia"/>
          <w:color w:val="auto"/>
        </w:rPr>
      </w:pPr>
      <m:oMath>
        <m:r>
          <w:rPr>
            <w:rFonts w:ascii="Cambria Math" w:hAnsi="Cambria Math"/>
            <w:color w:val="auto"/>
          </w:rPr>
          <m:t>VNA</m:t>
        </m:r>
      </m:oMath>
      <w:r w:rsidRPr="00297E43">
        <w:rPr>
          <w:rFonts w:eastAsiaTheme="minorEastAsia"/>
          <w:color w:val="auto"/>
        </w:rPr>
        <w:t xml:space="preserve"> = Valor Nominal Atualizado</w:t>
      </w:r>
    </w:p>
    <w:p w14:paraId="2A41F098" w14:textId="77777777" w:rsidR="00190244" w:rsidRPr="00297E43" w:rsidRDefault="00190244" w:rsidP="00B829E0">
      <w:pPr>
        <w:ind w:left="1134"/>
        <w:rPr>
          <w:rFonts w:eastAsiaTheme="minorEastAsia"/>
          <w:color w:val="auto"/>
        </w:rPr>
      </w:pPr>
      <m:oMath>
        <m:r>
          <w:rPr>
            <w:rFonts w:ascii="Cambria Math" w:hAnsi="Cambria Math"/>
            <w:color w:val="auto"/>
          </w:rPr>
          <m:t>Cotação</m:t>
        </m:r>
      </m:oMath>
      <w:r w:rsidRPr="00297E43">
        <w:rPr>
          <w:rFonts w:eastAsiaTheme="minorEastAsia"/>
          <w:color w:val="auto"/>
        </w:rPr>
        <w:t xml:space="preserve"> = é o valor unitário apresentado em um dia</w:t>
      </w:r>
    </w:p>
    <w:p w14:paraId="3EB7B7F5" w14:textId="77777777" w:rsidR="00C13039" w:rsidRPr="00297E43" w:rsidRDefault="00197355" w:rsidP="00AB69A3">
      <w:pPr>
        <w:pStyle w:val="Ttulo3"/>
        <w:spacing w:after="240"/>
        <w:rPr>
          <w:color w:val="auto"/>
        </w:rPr>
      </w:pPr>
      <w:bookmarkStart w:id="125" w:name="_Toc20130620"/>
      <w:r w:rsidRPr="00297E43">
        <w:rPr>
          <w:color w:val="auto"/>
        </w:rPr>
        <w:t>FUNDOS DE INVESTIMENTOS</w:t>
      </w:r>
      <w:bookmarkEnd w:id="125"/>
    </w:p>
    <w:p w14:paraId="29190972" w14:textId="77777777" w:rsidR="00D13FB8" w:rsidRPr="00297E43" w:rsidRDefault="003F24F1" w:rsidP="003F24F1">
      <w:pPr>
        <w:rPr>
          <w:color w:val="auto"/>
        </w:rPr>
      </w:pPr>
      <w:r w:rsidRPr="00297E43">
        <w:rPr>
          <w:color w:val="auto"/>
        </w:rPr>
        <w:t>A Instrução CVM 555 dispõe sobre a constituição, a administração, o funcionamento e a divulgação de informações dos fundos de investimento.</w:t>
      </w:r>
    </w:p>
    <w:p w14:paraId="408C3348" w14:textId="77777777" w:rsidR="003F24F1" w:rsidRPr="00297E43" w:rsidRDefault="003F24F1" w:rsidP="003F24F1">
      <w:pPr>
        <w:rPr>
          <w:color w:val="auto"/>
        </w:rPr>
      </w:pPr>
      <w:r w:rsidRPr="00297E43">
        <w:rPr>
          <w:color w:val="auto"/>
        </w:rPr>
        <w:t>O investimento em um fundo de investimento, portanto, confere domínio direto sobre fração ideal do patrimônio dado que cada cotista possui propriedade proporcional dos ativos inerentes à composição de cada fundo, sendo inteiramente responsável pelo ônus ou bônus dessa propriedade.</w:t>
      </w:r>
    </w:p>
    <w:p w14:paraId="5D9814F7" w14:textId="77777777" w:rsidR="003F24F1" w:rsidRPr="00297E43" w:rsidRDefault="00D13FB8" w:rsidP="003F24F1">
      <w:pPr>
        <w:rPr>
          <w:color w:val="auto"/>
        </w:rPr>
      </w:pPr>
      <w:r w:rsidRPr="00297E43">
        <w:rPr>
          <w:color w:val="auto"/>
        </w:rPr>
        <w:t>Através de divulgação pública e oficial, calcula-se o retorno do fundo de investimentos auferindo o rendimento do período, multiplicado pelo valor atual. Abaixo segue fórmula:</w:t>
      </w:r>
    </w:p>
    <w:p w14:paraId="2E693055" w14:textId="77777777" w:rsidR="00D13FB8" w:rsidRPr="00297E43" w:rsidRDefault="00D13FB8" w:rsidP="003F24F1">
      <w:pPr>
        <w:rPr>
          <w:rFonts w:eastAsiaTheme="minorEastAsia"/>
          <w:color w:val="auto"/>
        </w:rPr>
      </w:pPr>
      <m:oMathPara>
        <m:oMath>
          <m:r>
            <w:rPr>
              <w:rFonts w:ascii="Cambria Math" w:hAnsi="Cambria Math"/>
              <w:color w:val="auto"/>
            </w:rPr>
            <m:t>retorno=</m:t>
          </m:r>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e>
          </m:d>
          <m:r>
            <w:rPr>
              <w:rFonts w:ascii="Cambria Math" w:hAnsi="Cambria Math"/>
              <w:color w:val="auto"/>
            </w:rPr>
            <m:t>* 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m:oMathPara>
    </w:p>
    <w:p w14:paraId="146FF63D" w14:textId="77777777" w:rsidR="00D13FB8" w:rsidRPr="00297E43" w:rsidRDefault="00D13FB8" w:rsidP="003F24F1">
      <w:pPr>
        <w:rPr>
          <w:rFonts w:eastAsiaTheme="minorEastAsia"/>
          <w:color w:val="auto"/>
        </w:rPr>
      </w:pPr>
      <w:r w:rsidRPr="00297E43">
        <w:rPr>
          <w:rFonts w:eastAsiaTheme="minorEastAsia"/>
          <w:color w:val="auto"/>
        </w:rPr>
        <w:t>Onde:</w:t>
      </w:r>
    </w:p>
    <w:p w14:paraId="26462EF8" w14:textId="77777777" w:rsidR="00D13FB8" w:rsidRPr="00297E43" w:rsidRDefault="00D13FB8" w:rsidP="003F24F1">
      <w:pPr>
        <w:rPr>
          <w:rFonts w:eastAsiaTheme="minorEastAsia"/>
          <w:color w:val="auto"/>
        </w:rPr>
      </w:pPr>
      <w:r w:rsidRPr="00297E43">
        <w:rPr>
          <w:rFonts w:eastAsiaTheme="minorEastAsia"/>
          <w:color w:val="auto"/>
        </w:rPr>
        <w:t>Retorno: valor da diferente do montante aportado e o resultado final do período</w:t>
      </w:r>
    </w:p>
    <w:p w14:paraId="6D84AB65" w14:textId="77777777" w:rsidR="00D13FB8" w:rsidRPr="00297E43" w:rsidRDefault="00EF6A92" w:rsidP="004D7769">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oMath>
      <w:r w:rsidR="00D13FB8" w:rsidRPr="00297E43">
        <w:rPr>
          <w:rFonts w:eastAsiaTheme="minorEastAsia"/>
          <w:color w:val="auto"/>
        </w:rPr>
        <w:t xml:space="preserve"> </w:t>
      </w:r>
      <w:r w:rsidR="00B137CF" w:rsidRPr="00297E43">
        <w:rPr>
          <w:rFonts w:eastAsiaTheme="minorEastAsia"/>
          <w:color w:val="auto"/>
        </w:rPr>
        <w:t>: s</w:t>
      </w:r>
      <w:r w:rsidR="00D13FB8" w:rsidRPr="00297E43">
        <w:rPr>
          <w:rFonts w:eastAsiaTheme="minorEastAsia"/>
          <w:color w:val="auto"/>
        </w:rPr>
        <w:t>aldo inicial do investimento</w:t>
      </w:r>
    </w:p>
    <w:p w14:paraId="15B03097" w14:textId="77777777" w:rsidR="00D13FB8" w:rsidRPr="00297E43" w:rsidRDefault="00D13FB8" w:rsidP="00B829E0">
      <w:pPr>
        <w:ind w:left="1134"/>
        <w:rPr>
          <w:rFonts w:eastAsiaTheme="minorEastAsia"/>
          <w:color w:val="auto"/>
        </w:rPr>
      </w:pPr>
      <m:oMath>
        <m:r>
          <w:rPr>
            <w:rFonts w:ascii="Cambria Math" w:hAnsi="Cambria Math"/>
            <w:color w:val="auto"/>
          </w:rPr>
          <m:t>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w:r w:rsidRPr="00297E43">
        <w:rPr>
          <w:rFonts w:eastAsiaTheme="minorEastAsia"/>
          <w:color w:val="auto"/>
        </w:rPr>
        <w:t xml:space="preserve"> </w:t>
      </w:r>
      <w:r w:rsidR="00B137CF" w:rsidRPr="00297E43">
        <w:rPr>
          <w:rFonts w:eastAsiaTheme="minorEastAsia"/>
          <w:color w:val="auto"/>
        </w:rPr>
        <w:t>: r</w:t>
      </w:r>
      <w:r w:rsidRPr="00297E43">
        <w:rPr>
          <w:rFonts w:eastAsiaTheme="minorEastAsia"/>
          <w:color w:val="auto"/>
        </w:rPr>
        <w:t>endimento do fundo de investimento em um determinado período (em percentual)</w:t>
      </w:r>
    </w:p>
    <w:p w14:paraId="2344BDBD" w14:textId="77777777" w:rsidR="00D13FB8" w:rsidRPr="00297E43" w:rsidRDefault="00D13FB8" w:rsidP="003F24F1">
      <w:pPr>
        <w:rPr>
          <w:rFonts w:eastAsiaTheme="minorEastAsia"/>
          <w:color w:val="auto"/>
        </w:rPr>
      </w:pPr>
      <w:r w:rsidRPr="00297E43">
        <w:rPr>
          <w:rFonts w:eastAsiaTheme="minorEastAsia"/>
          <w:color w:val="auto"/>
        </w:rPr>
        <w:t xml:space="preserve">Para auferir o valor aportado no </w:t>
      </w:r>
      <w:r w:rsidR="00E32297" w:rsidRPr="00297E43">
        <w:rPr>
          <w:rFonts w:eastAsiaTheme="minorEastAsia"/>
          <w:color w:val="auto"/>
        </w:rPr>
        <w:t>fundo</w:t>
      </w:r>
      <w:r w:rsidRPr="00297E43">
        <w:rPr>
          <w:rFonts w:eastAsiaTheme="minorEastAsia"/>
          <w:color w:val="auto"/>
        </w:rPr>
        <w:t xml:space="preserve"> de investimento quanto a sua posição em relação a quantidade de cotas, calcula-se:</w:t>
      </w:r>
    </w:p>
    <w:p w14:paraId="1F2FCDEF" w14:textId="77777777" w:rsidR="00D13FB8" w:rsidRPr="00297E43" w:rsidRDefault="00EF6A92" w:rsidP="00D13FB8">
      <w:pPr>
        <w:spacing w:before="240"/>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m:oMathPara>
    </w:p>
    <w:p w14:paraId="07FC0E3D" w14:textId="77777777" w:rsidR="00D13FB8" w:rsidRPr="00297E43" w:rsidRDefault="00D13FB8" w:rsidP="00D13FB8">
      <w:pPr>
        <w:spacing w:before="240"/>
        <w:rPr>
          <w:rFonts w:eastAsiaTheme="minorEastAsia"/>
          <w:color w:val="auto"/>
        </w:rPr>
      </w:pPr>
      <w:r w:rsidRPr="00297E43">
        <w:rPr>
          <w:rFonts w:eastAsiaTheme="minorEastAsia"/>
          <w:color w:val="auto"/>
        </w:rPr>
        <w:lastRenderedPageBreak/>
        <w:t>Onde:</w:t>
      </w:r>
    </w:p>
    <w:p w14:paraId="6BBAE76A" w14:textId="77777777" w:rsidR="00D13FB8" w:rsidRPr="00297E43" w:rsidRDefault="00EF6A92" w:rsidP="004D7769">
      <w:pPr>
        <w:spacing w:after="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oMath>
      <w:r w:rsidR="00D13FB8" w:rsidRPr="00297E43">
        <w:rPr>
          <w:rFonts w:eastAsiaTheme="minorEastAsia"/>
          <w:color w:val="auto"/>
        </w:rPr>
        <w:t xml:space="preserve"> : valor </w:t>
      </w:r>
      <w:r w:rsidR="00B137CF" w:rsidRPr="00297E43">
        <w:rPr>
          <w:rFonts w:eastAsiaTheme="minorEastAsia"/>
          <w:color w:val="auto"/>
        </w:rPr>
        <w:t>atual do investimento</w:t>
      </w:r>
    </w:p>
    <w:p w14:paraId="7C4CC29E" w14:textId="77777777" w:rsidR="00B137CF" w:rsidRPr="00297E43" w:rsidRDefault="00EF6A92" w:rsidP="004D7769">
      <w:pPr>
        <w:spacing w:after="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oMath>
      <w:r w:rsidR="00B137CF" w:rsidRPr="00297E43">
        <w:rPr>
          <w:rFonts w:eastAsiaTheme="minorEastAsia"/>
          <w:color w:val="auto"/>
        </w:rPr>
        <w:t xml:space="preserve"> : valor da cota no dia</w:t>
      </w:r>
    </w:p>
    <w:p w14:paraId="27D32402" w14:textId="77777777" w:rsidR="00B137CF" w:rsidRPr="00297E43" w:rsidRDefault="00B137CF" w:rsidP="004D7769">
      <w:pPr>
        <w:ind w:left="1701"/>
        <w:jc w:val="left"/>
        <w:rPr>
          <w:rFonts w:eastAsiaTheme="minorEastAsia"/>
          <w:color w:val="auto"/>
        </w:rPr>
      </w:pPr>
      <m:oMath>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w:r w:rsidRPr="00297E43">
        <w:rPr>
          <w:rFonts w:eastAsiaTheme="minorEastAsia"/>
          <w:color w:val="auto"/>
        </w:rPr>
        <w:t xml:space="preserve"> : quantidade de cotas adquiridas mediante aporte no fundo de investimento</w:t>
      </w:r>
    </w:p>
    <w:p w14:paraId="6A1916E6" w14:textId="77777777" w:rsidR="00CA71C8" w:rsidRPr="00297E43" w:rsidRDefault="00CA71C8" w:rsidP="00D13FB8">
      <w:pPr>
        <w:spacing w:before="240"/>
        <w:rPr>
          <w:rFonts w:eastAsiaTheme="minorEastAsia"/>
          <w:i/>
          <w:color w:val="auto"/>
        </w:rPr>
      </w:pPr>
      <w:r w:rsidRPr="00297E43">
        <w:rPr>
          <w:rFonts w:eastAsiaTheme="minorEastAsia"/>
          <w:color w:val="auto"/>
        </w:rPr>
        <w:t xml:space="preserve">Em caso de fundos de investimento imobiliários (FII), onde consta </w:t>
      </w:r>
      <w:r w:rsidR="00EF71C5" w:rsidRPr="00297E43">
        <w:rPr>
          <w:rFonts w:eastAsiaTheme="minorEastAsia"/>
          <w:color w:val="auto"/>
        </w:rPr>
        <w:t xml:space="preserve">ao menos uma </w:t>
      </w:r>
      <w:r w:rsidRPr="00297E43">
        <w:rPr>
          <w:rFonts w:eastAsiaTheme="minorEastAsia"/>
          <w:color w:val="auto"/>
        </w:rPr>
        <w:t xml:space="preserve">negociação de compra e venda no mercado secundário através de seu </w:t>
      </w:r>
      <w:r w:rsidRPr="00297E43">
        <w:rPr>
          <w:rFonts w:eastAsiaTheme="minorEastAsia"/>
          <w:i/>
          <w:color w:val="auto"/>
        </w:rPr>
        <w:t xml:space="preserve">ticker; </w:t>
      </w:r>
      <w:r w:rsidRPr="00297E43">
        <w:rPr>
          <w:rFonts w:eastAsiaTheme="minorEastAsia"/>
          <w:color w:val="auto"/>
        </w:rPr>
        <w:t xml:space="preserve">esse será calculado através </w:t>
      </w:r>
      <w:r w:rsidR="00EF71C5" w:rsidRPr="00297E43">
        <w:rPr>
          <w:rFonts w:eastAsiaTheme="minorEastAsia"/>
          <w:color w:val="auto"/>
        </w:rPr>
        <w:t xml:space="preserve">do valor de mercado divulgado no site do </w:t>
      </w:r>
      <w:r w:rsidR="00EF71C5" w:rsidRPr="00297E43">
        <w:rPr>
          <w:color w:val="auto"/>
        </w:rPr>
        <w:t>BM&amp;FBOVESPA; caso contrário, será calculado a valor de cota, através de divulgado no site da Comissão de Valores Mobiliários – CVM.</w:t>
      </w:r>
    </w:p>
    <w:p w14:paraId="5F905BE8" w14:textId="77777777" w:rsidR="00C13039" w:rsidRPr="00297E43" w:rsidRDefault="00AB69A3" w:rsidP="00AB69A3">
      <w:pPr>
        <w:pStyle w:val="Ttulo3"/>
        <w:spacing w:after="240"/>
        <w:rPr>
          <w:color w:val="auto"/>
        </w:rPr>
      </w:pPr>
      <w:bookmarkStart w:id="126" w:name="_Toc20130621"/>
      <w:r w:rsidRPr="00297E43">
        <w:rPr>
          <w:color w:val="auto"/>
        </w:rPr>
        <w:t>TÍTULOS PRIVADOS</w:t>
      </w:r>
      <w:bookmarkEnd w:id="126"/>
    </w:p>
    <w:p w14:paraId="4022B1C4" w14:textId="77777777" w:rsidR="00AB69A3" w:rsidRPr="00297E43" w:rsidRDefault="00AB69A3" w:rsidP="00AB69A3">
      <w:pPr>
        <w:rPr>
          <w:color w:val="auto"/>
        </w:rPr>
      </w:pPr>
      <w:r w:rsidRPr="00297E43">
        <w:rPr>
          <w:color w:val="auto"/>
        </w:rPr>
        <w:t>Título privados são títulos emitidos por empresas privadas visando à captação de recursos.</w:t>
      </w:r>
    </w:p>
    <w:p w14:paraId="0E0A87EB" w14:textId="77777777" w:rsidR="001C4846" w:rsidRPr="00297E43" w:rsidRDefault="001C4846" w:rsidP="00AB69A3">
      <w:pPr>
        <w:rPr>
          <w:color w:val="auto"/>
        </w:rPr>
      </w:pPr>
      <w:r w:rsidRPr="00297E43">
        <w:rPr>
          <w:color w:val="auto"/>
        </w:rPr>
        <w:t xml:space="preserve">As operações compromissadas lastreadas em títulos públicos são operações de compra (venda) com compromisso de revenda (recompra). Na partida da operação são definidas a taxa de remuneração e a data de vencimento da operação. Para as operações compromissadas sem liquidez diária, a marcação a mercado será em acordo com as taxas praticadas pelo emissor para o prazo do título e, adicionalmente, um </w:t>
      </w:r>
      <w:r w:rsidRPr="00297E43">
        <w:rPr>
          <w:i/>
          <w:color w:val="auto"/>
        </w:rPr>
        <w:t>spread</w:t>
      </w:r>
      <w:r w:rsidRPr="00297E43">
        <w:rPr>
          <w:color w:val="auto"/>
        </w:rPr>
        <w:t xml:space="preserve"> da natureza da operação. Para as operações compromissadas negociadas com liquidez diária, a marcação a mercado será realizada com base na taxa de revenda/recompra na data.</w:t>
      </w:r>
    </w:p>
    <w:p w14:paraId="450D026F" w14:textId="77777777" w:rsidR="00A13FFF" w:rsidRPr="00297E43" w:rsidRDefault="00A13FFF" w:rsidP="00AB69A3">
      <w:pPr>
        <w:rPr>
          <w:color w:val="auto"/>
        </w:rPr>
      </w:pPr>
      <w:r w:rsidRPr="00297E43">
        <w:rPr>
          <w:color w:val="auto"/>
        </w:rPr>
        <w:t>Os certificados de depósito bancário (CDBs) são instrumentos de captação de recursos utilizados por instituições financeiras, os quais pagam ao aplicador, ao final do prazo contratado, a remuneração prevista, que em geral é flutuante ou pré-fixada, podendo ser emitidos e registrados na CETIP.</w:t>
      </w:r>
    </w:p>
    <w:p w14:paraId="1F2341C8" w14:textId="77777777" w:rsidR="00A13FFF" w:rsidRPr="00297E43" w:rsidRDefault="00A13FFF" w:rsidP="00AB69A3">
      <w:pPr>
        <w:rPr>
          <w:color w:val="auto"/>
        </w:rPr>
      </w:pPr>
      <w:r w:rsidRPr="00297E43">
        <w:rPr>
          <w:color w:val="auto"/>
        </w:rPr>
        <w:t xml:space="preserve">Os CDBs pré-fixados são títulos negociados com ágio/deságio em relação à curva de juros em reais. A marcação do CDB é realizada descontando o seu valor futuro pela taxa pré-fixada de mercado acrescida do </w:t>
      </w:r>
      <w:r w:rsidRPr="00297E43">
        <w:rPr>
          <w:i/>
          <w:color w:val="auto"/>
        </w:rPr>
        <w:t>spread</w:t>
      </w:r>
      <w:r w:rsidRPr="00297E43">
        <w:rPr>
          <w:color w:val="auto"/>
        </w:rPr>
        <w:t xml:space="preserve"> definido de acordo com as bandas de taxas referentes ao prazo da operação e rating do emissor.</w:t>
      </w:r>
    </w:p>
    <w:p w14:paraId="269F46E3" w14:textId="77777777" w:rsidR="00A13FFF" w:rsidRPr="00297E43" w:rsidRDefault="00A13FFF" w:rsidP="00AB69A3">
      <w:pPr>
        <w:rPr>
          <w:color w:val="auto"/>
        </w:rPr>
      </w:pPr>
      <w:r w:rsidRPr="00297E43">
        <w:rPr>
          <w:color w:val="auto"/>
        </w:rPr>
        <w:t xml:space="preserve">Os CDBs pós-fixados são títulos atualizados diariamente pelo CDI, ou seja, pela taxa de juros baseada na taxa média dos depósitos interbancários de um dia, calculada e divulgada pela CETIP. Geralmente, o CDI é acrescido de uma taxa ou por percentual </w:t>
      </w:r>
      <w:r w:rsidRPr="00297E43">
        <w:rPr>
          <w:i/>
          <w:color w:val="auto"/>
        </w:rPr>
        <w:t>spread</w:t>
      </w:r>
      <w:r w:rsidRPr="00297E43">
        <w:rPr>
          <w:color w:val="auto"/>
        </w:rPr>
        <w:t xml:space="preserve"> contratado na data de emissão do papel. A marcação do CDB é realizada descontando o seu valor futuro projetado pela taxa pré-fixada de mercado acrescida do spread definido de acordo com as faixas de taxas em vigor.</w:t>
      </w:r>
    </w:p>
    <w:p w14:paraId="476F32E7" w14:textId="77777777" w:rsidR="00AB69A3" w:rsidRPr="00297E43" w:rsidRDefault="00A13FFF" w:rsidP="00A13FFF">
      <w:pPr>
        <w:pStyle w:val="Ttulo3"/>
        <w:spacing w:after="240"/>
        <w:rPr>
          <w:color w:val="auto"/>
        </w:rPr>
      </w:pPr>
      <w:bookmarkStart w:id="127" w:name="_Toc20130622"/>
      <w:r w:rsidRPr="00297E43">
        <w:rPr>
          <w:color w:val="auto"/>
        </w:rPr>
        <w:t>POUPANÇA</w:t>
      </w:r>
      <w:bookmarkEnd w:id="127"/>
    </w:p>
    <w:p w14:paraId="1000A9DA" w14:textId="77777777" w:rsidR="00A13FFF" w:rsidRPr="00297E43" w:rsidRDefault="00ED11E8" w:rsidP="00AB69A3">
      <w:pPr>
        <w:spacing w:after="240"/>
        <w:rPr>
          <w:color w:val="auto"/>
        </w:rPr>
      </w:pPr>
      <w:r w:rsidRPr="00297E43">
        <w:rPr>
          <w:color w:val="auto"/>
        </w:rPr>
        <w:t>Para método de apuração para os investimentos em depósitos de poupança, calcula-se a taxa referencial usada no dia do depósito. Se a Selic estiver em 8,5% ao ano ou menos do que isso, a poupança irá render 70% da Selic mais a TR. Já no caso da Selic ficar acima de 8,5% ao ano, a rentabilidade é composta pela TR mais 0,5% ao mês.</w:t>
      </w:r>
    </w:p>
    <w:p w14:paraId="0480D32F" w14:textId="77777777" w:rsidR="0050706A" w:rsidRPr="00297E43" w:rsidRDefault="0050706A" w:rsidP="00314466">
      <w:pPr>
        <w:pStyle w:val="Ttulo2"/>
        <w:rPr>
          <w:color w:val="auto"/>
        </w:rPr>
      </w:pPr>
      <w:bookmarkStart w:id="128" w:name="_Toc20130623"/>
      <w:r w:rsidRPr="00297E43">
        <w:rPr>
          <w:color w:val="auto"/>
        </w:rPr>
        <w:t>FONTES</w:t>
      </w:r>
      <w:r w:rsidR="007740D7" w:rsidRPr="00297E43">
        <w:rPr>
          <w:color w:val="auto"/>
        </w:rPr>
        <w:t xml:space="preserve"> PRIMÁRIAS DE INFORMAÇÕES</w:t>
      </w:r>
      <w:bookmarkEnd w:id="128"/>
    </w:p>
    <w:p w14:paraId="5D327462" w14:textId="77777777" w:rsidR="007740D7" w:rsidRPr="00297E43" w:rsidRDefault="007740D7" w:rsidP="00134F10">
      <w:pPr>
        <w:rPr>
          <w:color w:val="auto"/>
        </w:rPr>
      </w:pPr>
      <w:r w:rsidRPr="00297E43">
        <w:rPr>
          <w:color w:val="auto"/>
        </w:rPr>
        <w:t>Como os procedimentos de marcação a mercado são diários, como norma e sempre que possível, adotam-se preços e cotações das seguintes fontes:</w:t>
      </w:r>
    </w:p>
    <w:p w14:paraId="73A7CA49" w14:textId="77777777" w:rsidR="007740D7" w:rsidRPr="00297E43" w:rsidRDefault="007740D7" w:rsidP="00134F10">
      <w:pPr>
        <w:pStyle w:val="PargrafodaLista"/>
        <w:numPr>
          <w:ilvl w:val="0"/>
          <w:numId w:val="24"/>
        </w:numPr>
        <w:rPr>
          <w:color w:val="auto"/>
        </w:rPr>
      </w:pPr>
      <w:r w:rsidRPr="00297E43">
        <w:rPr>
          <w:color w:val="auto"/>
        </w:rPr>
        <w:t>Títulos Públicos Federais e debentures: Taxas Indicativas da ANBIMA</w:t>
      </w:r>
      <w:r w:rsidR="00DE6AEC" w:rsidRPr="00297E43">
        <w:rPr>
          <w:color w:val="auto"/>
        </w:rPr>
        <w:t xml:space="preserve"> – Associação Brasileira das Entidades dos Mercados Financeiros e de Capitais</w:t>
      </w:r>
      <w:r w:rsidR="009A7648" w:rsidRPr="00297E43">
        <w:rPr>
          <w:color w:val="auto"/>
        </w:rPr>
        <w:t xml:space="preserve"> (http://www.anbima.com.br/pt_br/index.htm);</w:t>
      </w:r>
    </w:p>
    <w:p w14:paraId="070847F0" w14:textId="77777777" w:rsidR="00DE6AEC" w:rsidRPr="00297E43" w:rsidRDefault="00DE6AEC" w:rsidP="00132C38">
      <w:pPr>
        <w:pStyle w:val="PargrafodaLista"/>
        <w:rPr>
          <w:color w:val="auto"/>
        </w:rPr>
      </w:pPr>
    </w:p>
    <w:p w14:paraId="63BC6793" w14:textId="77777777" w:rsidR="00DE6AEC" w:rsidRPr="00297E43" w:rsidRDefault="007740D7" w:rsidP="00132C38">
      <w:pPr>
        <w:pStyle w:val="PargrafodaLista"/>
        <w:numPr>
          <w:ilvl w:val="0"/>
          <w:numId w:val="24"/>
        </w:numPr>
        <w:rPr>
          <w:color w:val="auto"/>
        </w:rPr>
      </w:pPr>
      <w:r w:rsidRPr="00297E43">
        <w:rPr>
          <w:color w:val="auto"/>
        </w:rPr>
        <w:t>C</w:t>
      </w:r>
      <w:r w:rsidR="00DE6AEC" w:rsidRPr="00297E43">
        <w:rPr>
          <w:color w:val="auto"/>
        </w:rPr>
        <w:t>otas de fundos de investimentos: Comissão de Valores Mobiliários – CVM</w:t>
      </w:r>
      <w:r w:rsidR="009A7648" w:rsidRPr="00297E43">
        <w:rPr>
          <w:color w:val="auto"/>
        </w:rPr>
        <w:t xml:space="preserve"> (</w:t>
      </w:r>
      <w:r w:rsidR="00C95BFC" w:rsidRPr="00297E43">
        <w:rPr>
          <w:color w:val="auto"/>
        </w:rPr>
        <w:t>http://www.cvm.gov.br/</w:t>
      </w:r>
      <w:r w:rsidR="009A7648" w:rsidRPr="00297E43">
        <w:rPr>
          <w:color w:val="auto"/>
        </w:rPr>
        <w:t>)</w:t>
      </w:r>
      <w:r w:rsidR="00DE6AEC" w:rsidRPr="00297E43">
        <w:rPr>
          <w:color w:val="auto"/>
        </w:rPr>
        <w:t>;</w:t>
      </w:r>
    </w:p>
    <w:p w14:paraId="4DDE64BE" w14:textId="77777777" w:rsidR="00C95BFC" w:rsidRPr="00297E43" w:rsidRDefault="00C95BFC" w:rsidP="00C95BFC">
      <w:pPr>
        <w:pStyle w:val="PargrafodaLista"/>
        <w:rPr>
          <w:color w:val="auto"/>
        </w:rPr>
      </w:pPr>
    </w:p>
    <w:p w14:paraId="67CBADE7" w14:textId="77777777" w:rsidR="00C95BFC" w:rsidRPr="00297E43" w:rsidRDefault="00C95BFC" w:rsidP="00927762">
      <w:pPr>
        <w:pStyle w:val="PargrafodaLista"/>
        <w:numPr>
          <w:ilvl w:val="0"/>
          <w:numId w:val="24"/>
        </w:numPr>
        <w:rPr>
          <w:color w:val="auto"/>
        </w:rPr>
      </w:pPr>
      <w:r w:rsidRPr="00297E43">
        <w:rPr>
          <w:color w:val="auto"/>
        </w:rPr>
        <w:t xml:space="preserve">Valor Nominal Atualizado: </w:t>
      </w:r>
      <w:r w:rsidR="00927762" w:rsidRPr="00297E43">
        <w:rPr>
          <w:color w:val="auto"/>
        </w:rPr>
        <w:t>Valor Nominal Atualizado ANBIMA - Associação Brasileira das Entidades dos Mercados Financeiros e de Capitais (http://www.anbima.com.br/vna/vna.asp)</w:t>
      </w:r>
    </w:p>
    <w:p w14:paraId="0BDB71CE" w14:textId="77777777" w:rsidR="00DE6AEC" w:rsidRPr="00297E43" w:rsidRDefault="00DE6AEC" w:rsidP="00132C38">
      <w:pPr>
        <w:pStyle w:val="PargrafodaLista"/>
        <w:rPr>
          <w:color w:val="auto"/>
        </w:rPr>
      </w:pPr>
    </w:p>
    <w:p w14:paraId="7CA99B1D" w14:textId="77777777" w:rsidR="007740D7" w:rsidRPr="00297E43" w:rsidRDefault="007740D7" w:rsidP="00132C38">
      <w:pPr>
        <w:pStyle w:val="PargrafodaLista"/>
        <w:numPr>
          <w:ilvl w:val="0"/>
          <w:numId w:val="24"/>
        </w:numPr>
        <w:rPr>
          <w:color w:val="auto"/>
        </w:rPr>
      </w:pPr>
      <w:r w:rsidRPr="00297E43">
        <w:rPr>
          <w:color w:val="auto"/>
        </w:rPr>
        <w:t>Ações, opções sobre ações líquidas e termo de ações: BM&amp;FBOVESPA</w:t>
      </w:r>
      <w:r w:rsidR="009A7648" w:rsidRPr="00297E43">
        <w:rPr>
          <w:color w:val="auto"/>
        </w:rPr>
        <w:t xml:space="preserve"> (</w:t>
      </w:r>
      <w:r w:rsidR="00132C38" w:rsidRPr="00297E43">
        <w:rPr>
          <w:color w:val="auto"/>
        </w:rPr>
        <w:t>http://www.bmfbovespa.com.br/pt_br/)</w:t>
      </w:r>
      <w:r w:rsidR="00DE6AEC" w:rsidRPr="00297E43">
        <w:rPr>
          <w:color w:val="auto"/>
        </w:rPr>
        <w:t>; e</w:t>
      </w:r>
    </w:p>
    <w:p w14:paraId="11B098FB" w14:textId="77777777" w:rsidR="00DE6AEC" w:rsidRPr="00297E43" w:rsidRDefault="00DE6AEC" w:rsidP="00132C38">
      <w:pPr>
        <w:pStyle w:val="PargrafodaLista"/>
        <w:rPr>
          <w:color w:val="auto"/>
        </w:rPr>
      </w:pPr>
    </w:p>
    <w:p w14:paraId="3EE988F6" w14:textId="77777777" w:rsidR="00DE6AEC" w:rsidRPr="00297E43" w:rsidRDefault="00DE6AEC" w:rsidP="00132C38">
      <w:pPr>
        <w:pStyle w:val="PargrafodaLista"/>
        <w:numPr>
          <w:ilvl w:val="0"/>
          <w:numId w:val="24"/>
        </w:numPr>
        <w:rPr>
          <w:color w:val="auto"/>
        </w:rPr>
      </w:pPr>
      <w:r w:rsidRPr="00297E43">
        <w:rPr>
          <w:color w:val="auto"/>
        </w:rPr>
        <w:t>Certificado de Depósito Bancário – CDB: CETIP</w:t>
      </w:r>
      <w:r w:rsidR="00C95BFC" w:rsidRPr="00297E43">
        <w:rPr>
          <w:color w:val="auto"/>
        </w:rPr>
        <w:t xml:space="preserve"> (https://www.cetip.com.br/).</w:t>
      </w:r>
    </w:p>
    <w:p w14:paraId="20380C8D" w14:textId="77777777" w:rsidR="00B60B7D" w:rsidRPr="00297E43" w:rsidRDefault="00B60B7D" w:rsidP="00132C38">
      <w:pPr>
        <w:rPr>
          <w:color w:val="auto"/>
        </w:rPr>
      </w:pPr>
      <w:r w:rsidRPr="00297E43">
        <w:rPr>
          <w:color w:val="auto"/>
        </w:rPr>
        <w:br w:type="page"/>
      </w:r>
    </w:p>
    <w:p w14:paraId="30ACA725" w14:textId="48D59EFB" w:rsidR="008672F9" w:rsidRPr="00297E43" w:rsidRDefault="008672F9" w:rsidP="005B5E5B">
      <w:pPr>
        <w:pStyle w:val="Ttulo1"/>
        <w:rPr>
          <w:color w:val="auto"/>
        </w:rPr>
      </w:pPr>
      <w:bookmarkStart w:id="129" w:name="_Toc20130624"/>
      <w:r w:rsidRPr="00297E43">
        <w:rPr>
          <w:color w:val="auto"/>
        </w:rPr>
        <w:lastRenderedPageBreak/>
        <w:t>POLÍTICA DE ACOMPANHEMTNO E AVALIAÇÃO</w:t>
      </w:r>
      <w:bookmarkEnd w:id="129"/>
    </w:p>
    <w:p w14:paraId="2CA89E42" w14:textId="77777777" w:rsidR="00D07404" w:rsidRPr="00297E43" w:rsidRDefault="008672F9" w:rsidP="005B5E5B">
      <w:pPr>
        <w:rPr>
          <w:color w:val="auto"/>
        </w:rPr>
      </w:pPr>
      <w:r w:rsidRPr="00297E43">
        <w:rPr>
          <w:color w:val="auto"/>
        </w:rPr>
        <w:t>Para o acompanhamento e avaliação d</w:t>
      </w:r>
      <w:r w:rsidR="00DD14C8" w:rsidRPr="00297E43">
        <w:rPr>
          <w:color w:val="auto"/>
        </w:rPr>
        <w:t>a carteira de investimento, d</w:t>
      </w:r>
      <w:r w:rsidRPr="00297E43">
        <w:rPr>
          <w:color w:val="auto"/>
        </w:rPr>
        <w:t xml:space="preserve">os fundos de investimentos </w:t>
      </w:r>
      <w:r w:rsidR="00DD14C8" w:rsidRPr="00297E43">
        <w:rPr>
          <w:color w:val="auto"/>
        </w:rPr>
        <w:t xml:space="preserve">que a contemplam e seus resultados, adicionalmente </w:t>
      </w:r>
      <w:r w:rsidRPr="00297E43">
        <w:rPr>
          <w:color w:val="auto"/>
        </w:rPr>
        <w:t>serão adotados metodologias e critérios que atendam conjuntamente as normativas expedidas pelos órg</w:t>
      </w:r>
      <w:r w:rsidR="00D07404" w:rsidRPr="00297E43">
        <w:rPr>
          <w:color w:val="auto"/>
        </w:rPr>
        <w:t>ãos reguladores.</w:t>
      </w:r>
    </w:p>
    <w:p w14:paraId="0F1F096C" w14:textId="0C1E3E4C" w:rsidR="00DD14C8" w:rsidRPr="00297E43" w:rsidRDefault="00D07404" w:rsidP="005B5E5B">
      <w:pPr>
        <w:rPr>
          <w:color w:val="auto"/>
        </w:rPr>
      </w:pPr>
      <w:r w:rsidRPr="00297E43">
        <w:rPr>
          <w:color w:val="auto"/>
        </w:rPr>
        <w:t>Como forma de acompanhamento, ser</w:t>
      </w:r>
      <w:r w:rsidR="00F95781" w:rsidRPr="00297E43">
        <w:rPr>
          <w:color w:val="auto"/>
        </w:rPr>
        <w:t>á</w:t>
      </w:r>
      <w:r w:rsidRPr="00297E43">
        <w:rPr>
          <w:color w:val="auto"/>
        </w:rPr>
        <w:t xml:space="preserve"> admitido a elaboração de relatórios mensais, acompanhados de parecer avaliativo do Comitê de Investimentos, que contemple no mínimo informações sobre a rentabilidade e dos riscos das diversas modalidades de operações realizadas na aplicação dos recursos do RPPS e da aderência das alocações e processos decisórios de investimentos</w:t>
      </w:r>
      <w:r w:rsidR="00DD14C8" w:rsidRPr="00297E43">
        <w:rPr>
          <w:color w:val="auto"/>
        </w:rPr>
        <w:t>.</w:t>
      </w:r>
    </w:p>
    <w:p w14:paraId="7F489D9B" w14:textId="41250FE8" w:rsidR="00F95781" w:rsidRPr="00297E43" w:rsidRDefault="00F95781" w:rsidP="005B5E5B">
      <w:pPr>
        <w:rPr>
          <w:color w:val="auto"/>
        </w:rPr>
      </w:pPr>
      <w:r w:rsidRPr="00297E43">
        <w:rPr>
          <w:color w:val="auto"/>
        </w:rPr>
        <w:t>O relatório mensal será com compilado de informações que compreendem no mínimo:</w:t>
      </w:r>
    </w:p>
    <w:p w14:paraId="680432CA" w14:textId="2763AA16" w:rsidR="00F95781" w:rsidRPr="00297E43" w:rsidRDefault="00F95781" w:rsidP="00F95781">
      <w:pPr>
        <w:pStyle w:val="PargrafodaLista"/>
        <w:numPr>
          <w:ilvl w:val="0"/>
          <w:numId w:val="31"/>
        </w:numPr>
        <w:rPr>
          <w:color w:val="auto"/>
        </w:rPr>
      </w:pPr>
      <w:r w:rsidRPr="00297E43">
        <w:rPr>
          <w:color w:val="auto"/>
        </w:rPr>
        <w:t>Editorial sobre o panorama econômico relativo ao mês anterior;</w:t>
      </w:r>
    </w:p>
    <w:p w14:paraId="5FFDAEEB" w14:textId="29B2D170" w:rsidR="00F95781" w:rsidRPr="00297E43" w:rsidRDefault="00F95781" w:rsidP="005B5E5B">
      <w:pPr>
        <w:pStyle w:val="PargrafodaLista"/>
        <w:numPr>
          <w:ilvl w:val="0"/>
          <w:numId w:val="31"/>
        </w:numPr>
        <w:rPr>
          <w:color w:val="auto"/>
        </w:rPr>
      </w:pPr>
      <w:r w:rsidRPr="00297E43">
        <w:rPr>
          <w:color w:val="auto"/>
        </w:rPr>
        <w:t>Editorial sobre o panorama econômico relativo ao trimestre anterior;</w:t>
      </w:r>
    </w:p>
    <w:p w14:paraId="44C394D4" w14:textId="77777777" w:rsidR="00F95781" w:rsidRPr="00297E43" w:rsidRDefault="00F95781" w:rsidP="00F95781">
      <w:pPr>
        <w:pStyle w:val="PargrafodaLista"/>
        <w:numPr>
          <w:ilvl w:val="0"/>
          <w:numId w:val="31"/>
        </w:numPr>
        <w:rPr>
          <w:color w:val="auto"/>
        </w:rPr>
      </w:pPr>
      <w:r w:rsidRPr="00297E43">
        <w:rPr>
          <w:color w:val="auto"/>
        </w:rPr>
        <w:t>Relatório de análise inicial da carteira de investimentos;</w:t>
      </w:r>
    </w:p>
    <w:p w14:paraId="1E3173CA" w14:textId="0DA1250E" w:rsidR="00F95781" w:rsidRPr="00297E43" w:rsidRDefault="00F95781" w:rsidP="00F95781">
      <w:pPr>
        <w:pStyle w:val="PargrafodaLista"/>
        <w:numPr>
          <w:ilvl w:val="0"/>
          <w:numId w:val="31"/>
        </w:numPr>
        <w:rPr>
          <w:color w:val="auto"/>
        </w:rPr>
      </w:pPr>
      <w:r w:rsidRPr="00297E43">
        <w:rPr>
          <w:color w:val="auto"/>
        </w:rPr>
        <w:t>Relatório de Monitoramento -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otimização da carteira;</w:t>
      </w:r>
    </w:p>
    <w:p w14:paraId="6325551C" w14:textId="4892162B" w:rsidR="00F95781" w:rsidRPr="00297E43" w:rsidRDefault="00F95781" w:rsidP="00F95781">
      <w:pPr>
        <w:pStyle w:val="PargrafodaLista"/>
        <w:numPr>
          <w:ilvl w:val="0"/>
          <w:numId w:val="31"/>
        </w:numPr>
        <w:rPr>
          <w:color w:val="auto"/>
        </w:rPr>
      </w:pPr>
      <w:r w:rsidRPr="00297E43">
        <w:rPr>
          <w:color w:val="auto"/>
        </w:rPr>
        <w:t>Relatório de Acompanhamento dos Fundos de Investimentos - Análise de regulamento, enquadramento, prospecto (quando houver) e parecer opinativo;</w:t>
      </w:r>
    </w:p>
    <w:p w14:paraId="2A3F0FB4" w14:textId="77777777" w:rsidR="00F95781" w:rsidRPr="00297E43" w:rsidRDefault="00F95781" w:rsidP="00F95781">
      <w:pPr>
        <w:pStyle w:val="PargrafodaLista"/>
        <w:numPr>
          <w:ilvl w:val="0"/>
          <w:numId w:val="31"/>
        </w:numPr>
        <w:rPr>
          <w:color w:val="auto"/>
        </w:rPr>
      </w:pPr>
      <w:r w:rsidRPr="00297E43">
        <w:rPr>
          <w:color w:val="auto"/>
        </w:rPr>
        <w:t>Parecer Técnico de Assembleia de Fundos de Investimentos - resumo e análise de ata contendo parecer opinativo;</w:t>
      </w:r>
    </w:p>
    <w:p w14:paraId="6A619DA1" w14:textId="4D32A529" w:rsidR="00787CDF" w:rsidRPr="00297E43" w:rsidRDefault="00787CDF" w:rsidP="00787CDF">
      <w:pPr>
        <w:pStyle w:val="PargrafodaLista"/>
        <w:numPr>
          <w:ilvl w:val="0"/>
          <w:numId w:val="31"/>
        </w:numPr>
        <w:rPr>
          <w:color w:val="auto"/>
        </w:rPr>
      </w:pPr>
      <w:r w:rsidRPr="00297E43">
        <w:rPr>
          <w:color w:val="auto"/>
        </w:rPr>
        <w:t>Enquadramento das aplicações nos segmentos e artigos da Resolução CMN nº 3.922/10, com alerta em casos de desenquadramento;</w:t>
      </w:r>
    </w:p>
    <w:p w14:paraId="3DE9080C" w14:textId="5FD356E6" w:rsidR="00787CDF" w:rsidRPr="00297E43" w:rsidRDefault="00787CDF" w:rsidP="00787CDF">
      <w:pPr>
        <w:pStyle w:val="PargrafodaLista"/>
        <w:numPr>
          <w:ilvl w:val="0"/>
          <w:numId w:val="31"/>
        </w:numPr>
        <w:rPr>
          <w:color w:val="auto"/>
        </w:rPr>
      </w:pPr>
      <w:r w:rsidRPr="00297E43">
        <w:rPr>
          <w:color w:val="auto"/>
        </w:rPr>
        <w:t>Enquadramento das aplicações de acordo com os limites definidos na Política de Investimentos, com alerta em casos de desenquadramento;</w:t>
      </w:r>
    </w:p>
    <w:p w14:paraId="2FE6970B" w14:textId="72092178" w:rsidR="00787CDF" w:rsidRPr="00297E43" w:rsidRDefault="00787CDF" w:rsidP="00787CDF">
      <w:pPr>
        <w:pStyle w:val="PargrafodaLista"/>
        <w:numPr>
          <w:ilvl w:val="0"/>
          <w:numId w:val="31"/>
        </w:numPr>
        <w:rPr>
          <w:color w:val="auto"/>
        </w:rPr>
      </w:pPr>
      <w:r w:rsidRPr="00297E43">
        <w:rPr>
          <w:color w:val="auto"/>
        </w:rPr>
        <w:t>Rentabilidade individual e comparativa – benchmarks – das aplicações financeiras de forma a identificar aquelas com desempenho insatisfatório;</w:t>
      </w:r>
    </w:p>
    <w:p w14:paraId="3C3D3CF0" w14:textId="716ABC21" w:rsidR="00787CDF" w:rsidRPr="00297E43" w:rsidRDefault="00787CDF" w:rsidP="00787CDF">
      <w:pPr>
        <w:pStyle w:val="PargrafodaLista"/>
        <w:numPr>
          <w:ilvl w:val="0"/>
          <w:numId w:val="31"/>
        </w:numPr>
        <w:rPr>
          <w:color w:val="auto"/>
        </w:rPr>
      </w:pPr>
      <w:r w:rsidRPr="00297E43">
        <w:rPr>
          <w:color w:val="auto"/>
        </w:rPr>
        <w:t>Marcação a Mercado da carteira de Títulos Públicos Federais permitindo a visualização de oportunidades de compra e venda;</w:t>
      </w:r>
    </w:p>
    <w:p w14:paraId="1457A905" w14:textId="38B14907" w:rsidR="00787CDF" w:rsidRPr="00297E43" w:rsidRDefault="00787CDF" w:rsidP="00787CDF">
      <w:pPr>
        <w:pStyle w:val="PargrafodaLista"/>
        <w:numPr>
          <w:ilvl w:val="0"/>
          <w:numId w:val="31"/>
        </w:numPr>
        <w:rPr>
          <w:color w:val="auto"/>
        </w:rPr>
      </w:pPr>
      <w:r w:rsidRPr="00297E43">
        <w:rPr>
          <w:color w:val="auto"/>
        </w:rPr>
        <w:t>Concentração dos investimentos por instituição financeira;</w:t>
      </w:r>
    </w:p>
    <w:p w14:paraId="01FBD287" w14:textId="5BA888AE" w:rsidR="00787CDF" w:rsidRPr="00297E43" w:rsidRDefault="00787CDF" w:rsidP="00787CDF">
      <w:pPr>
        <w:pStyle w:val="PargrafodaLista"/>
        <w:numPr>
          <w:ilvl w:val="0"/>
          <w:numId w:val="31"/>
        </w:numPr>
        <w:rPr>
          <w:color w:val="auto"/>
        </w:rPr>
      </w:pPr>
      <w:r w:rsidRPr="00297E43">
        <w:rPr>
          <w:color w:val="auto"/>
        </w:rPr>
        <w:t>Taxa de administração por fundo de investimento, possibilitando análise comparativa;</w:t>
      </w:r>
    </w:p>
    <w:p w14:paraId="34C830E1" w14:textId="1AF08756" w:rsidR="00787CDF" w:rsidRPr="00297E43" w:rsidRDefault="00787CDF" w:rsidP="00787CDF">
      <w:pPr>
        <w:pStyle w:val="PargrafodaLista"/>
        <w:numPr>
          <w:ilvl w:val="0"/>
          <w:numId w:val="31"/>
        </w:numPr>
        <w:rPr>
          <w:color w:val="auto"/>
        </w:rPr>
      </w:pPr>
      <w:r w:rsidRPr="00297E43">
        <w:rPr>
          <w:color w:val="auto"/>
        </w:rPr>
        <w:t>Quantidade de cotistas por fundo de investimento que compõe a carteira;</w:t>
      </w:r>
    </w:p>
    <w:p w14:paraId="7F07E52E" w14:textId="1DA28691" w:rsidR="00787CDF" w:rsidRPr="00297E43" w:rsidRDefault="00787CDF" w:rsidP="00787CDF">
      <w:pPr>
        <w:pStyle w:val="PargrafodaLista"/>
        <w:numPr>
          <w:ilvl w:val="0"/>
          <w:numId w:val="31"/>
        </w:numPr>
        <w:rPr>
          <w:color w:val="auto"/>
        </w:rPr>
      </w:pPr>
      <w:r w:rsidRPr="00297E43">
        <w:rPr>
          <w:color w:val="auto"/>
        </w:rPr>
        <w:t>Rentabilidade da carteira após as movimentações mensais, disponibilizada mensalmente e cumulativamente no decorrer do ano em exercício, comparativamente a meta atu</w:t>
      </w:r>
      <w:r w:rsidR="00C3209B" w:rsidRPr="00297E43">
        <w:rPr>
          <w:color w:val="auto"/>
        </w:rPr>
        <w:t>arial e</w:t>
      </w:r>
    </w:p>
    <w:p w14:paraId="3BB44059" w14:textId="7B72A4DE" w:rsidR="00151B5C" w:rsidRPr="00297E43" w:rsidRDefault="00787CDF" w:rsidP="00151B5C">
      <w:pPr>
        <w:pStyle w:val="PargrafodaLista"/>
        <w:numPr>
          <w:ilvl w:val="0"/>
          <w:numId w:val="31"/>
        </w:numPr>
        <w:rPr>
          <w:color w:val="auto"/>
        </w:rPr>
      </w:pPr>
      <w:r w:rsidRPr="00297E43">
        <w:rPr>
          <w:color w:val="auto"/>
        </w:rPr>
        <w:t>Gráfico comparativo de rentabilidade e riscos dos fundos de investimentos;</w:t>
      </w:r>
    </w:p>
    <w:p w14:paraId="0E8AFA20" w14:textId="7B398AE8" w:rsidR="00151B5C" w:rsidRPr="00297E43" w:rsidRDefault="00151B5C" w:rsidP="00151B5C">
      <w:pPr>
        <w:pStyle w:val="PargrafodaLista"/>
        <w:numPr>
          <w:ilvl w:val="0"/>
          <w:numId w:val="31"/>
        </w:numPr>
        <w:rPr>
          <w:color w:val="auto"/>
        </w:rPr>
      </w:pPr>
      <w:r w:rsidRPr="00297E43">
        <w:rPr>
          <w:color w:val="auto"/>
        </w:rPr>
        <w:t>Diligencia sobre os lastros relativos aos títulos ou papéis incluídos em operações estruturadas adquiridas por meio de veículos de investimentos;</w:t>
      </w:r>
    </w:p>
    <w:p w14:paraId="4BB1B354" w14:textId="3A6188DB" w:rsidR="00151B5C" w:rsidRPr="00297E43" w:rsidRDefault="00151B5C" w:rsidP="00151B5C">
      <w:pPr>
        <w:pStyle w:val="PargrafodaLista"/>
        <w:numPr>
          <w:ilvl w:val="0"/>
          <w:numId w:val="31"/>
        </w:numPr>
        <w:rPr>
          <w:color w:val="auto"/>
        </w:rPr>
      </w:pPr>
      <w:r w:rsidRPr="00297E43">
        <w:rPr>
          <w:color w:val="auto"/>
        </w:rPr>
        <w:t>Acompanhamento sistemático da situação patrimonial; fiscal, comercial e jurídica das instituições investidas e do desempenho dos papéis por elas emitidos.</w:t>
      </w:r>
    </w:p>
    <w:p w14:paraId="2F393E11" w14:textId="392C8958" w:rsidR="00D07404" w:rsidRPr="00297E43" w:rsidRDefault="00D07404" w:rsidP="005B5E5B">
      <w:pPr>
        <w:rPr>
          <w:color w:val="auto"/>
        </w:rPr>
      </w:pPr>
      <w:r w:rsidRPr="00297E43">
        <w:rPr>
          <w:color w:val="auto"/>
        </w:rPr>
        <w:t>O</w:t>
      </w:r>
      <w:r w:rsidR="00662190" w:rsidRPr="00297E43">
        <w:rPr>
          <w:color w:val="auto"/>
        </w:rPr>
        <w:t>s</w:t>
      </w:r>
      <w:r w:rsidRPr="00297E43">
        <w:rPr>
          <w:color w:val="auto"/>
        </w:rPr>
        <w:t xml:space="preserve"> parecer</w:t>
      </w:r>
      <w:r w:rsidR="00662190" w:rsidRPr="00297E43">
        <w:rPr>
          <w:color w:val="auto"/>
        </w:rPr>
        <w:t>es</w:t>
      </w:r>
      <w:r w:rsidRPr="00297E43">
        <w:rPr>
          <w:color w:val="auto"/>
        </w:rPr>
        <w:t xml:space="preserve"> avaliativo</w:t>
      </w:r>
      <w:r w:rsidR="00662190" w:rsidRPr="00297E43">
        <w:rPr>
          <w:color w:val="auto"/>
        </w:rPr>
        <w:t>s</w:t>
      </w:r>
      <w:r w:rsidRPr="00297E43">
        <w:rPr>
          <w:color w:val="auto"/>
        </w:rPr>
        <w:t xml:space="preserve"> emitido</w:t>
      </w:r>
      <w:r w:rsidR="00662190" w:rsidRPr="00297E43">
        <w:rPr>
          <w:color w:val="auto"/>
        </w:rPr>
        <w:t>s</w:t>
      </w:r>
      <w:r w:rsidRPr="00297E43">
        <w:rPr>
          <w:color w:val="auto"/>
        </w:rPr>
        <w:t xml:space="preserve"> pelo Comitê de Investimentos dever</w:t>
      </w:r>
      <w:r w:rsidR="00662190" w:rsidRPr="00297E43">
        <w:rPr>
          <w:color w:val="auto"/>
        </w:rPr>
        <w:t>ão</w:t>
      </w:r>
      <w:r w:rsidRPr="00297E43">
        <w:rPr>
          <w:color w:val="auto"/>
        </w:rPr>
        <w:t xml:space="preserve"> apresentar no mínimo o plano de ação com o cronograma das atividades a serem desempenhadas relativas à gestão dos recursos.</w:t>
      </w:r>
      <w:r w:rsidR="006423A9" w:rsidRPr="00297E43">
        <w:rPr>
          <w:color w:val="auto"/>
        </w:rPr>
        <w:t xml:space="preserve"> Com</w:t>
      </w:r>
      <w:r w:rsidRPr="00297E43">
        <w:rPr>
          <w:color w:val="auto"/>
        </w:rPr>
        <w:t xml:space="preserve"> a emissão do</w:t>
      </w:r>
      <w:r w:rsidR="00662190" w:rsidRPr="00297E43">
        <w:rPr>
          <w:color w:val="auto"/>
        </w:rPr>
        <w:t>s</w:t>
      </w:r>
      <w:r w:rsidRPr="00297E43">
        <w:rPr>
          <w:color w:val="auto"/>
        </w:rPr>
        <w:t xml:space="preserve"> parecer</w:t>
      </w:r>
      <w:r w:rsidR="00662190" w:rsidRPr="00297E43">
        <w:rPr>
          <w:color w:val="auto"/>
        </w:rPr>
        <w:t>es</w:t>
      </w:r>
      <w:r w:rsidRPr="00297E43">
        <w:rPr>
          <w:color w:val="auto"/>
        </w:rPr>
        <w:t xml:space="preserve"> avaliativos e </w:t>
      </w:r>
      <w:r w:rsidR="00662190" w:rsidRPr="00297E43">
        <w:rPr>
          <w:color w:val="auto"/>
        </w:rPr>
        <w:t xml:space="preserve">a </w:t>
      </w:r>
      <w:r w:rsidRPr="00297E43">
        <w:rPr>
          <w:color w:val="auto"/>
        </w:rPr>
        <w:t>elaboração do plano de ação, o mesmo deverá ser aprovado pelo órgão deliberativo.</w:t>
      </w:r>
    </w:p>
    <w:p w14:paraId="294B7368" w14:textId="44050728" w:rsidR="00242905" w:rsidRPr="00297E43" w:rsidRDefault="00242905">
      <w:pPr>
        <w:jc w:val="left"/>
        <w:rPr>
          <w:color w:val="auto"/>
        </w:rPr>
      </w:pPr>
      <w:r w:rsidRPr="00297E43">
        <w:rPr>
          <w:color w:val="auto"/>
        </w:rPr>
        <w:br w:type="page"/>
      </w:r>
    </w:p>
    <w:p w14:paraId="4E9717D3" w14:textId="7C8934CA" w:rsidR="00FA2C71" w:rsidRPr="00297E43" w:rsidRDefault="00FA2C71" w:rsidP="005B5E5B">
      <w:pPr>
        <w:pStyle w:val="Ttulo1"/>
        <w:rPr>
          <w:color w:val="auto"/>
        </w:rPr>
      </w:pPr>
      <w:bookmarkStart w:id="130" w:name="_Toc20130625"/>
      <w:r w:rsidRPr="00297E43">
        <w:rPr>
          <w:color w:val="auto"/>
        </w:rPr>
        <w:lastRenderedPageBreak/>
        <w:t>PLANO DE CONTINGÊNCIA</w:t>
      </w:r>
      <w:bookmarkEnd w:id="130"/>
      <w:r w:rsidR="007F54C9" w:rsidRPr="00297E43">
        <w:rPr>
          <w:color w:val="auto"/>
        </w:rPr>
        <w:t xml:space="preserve"> </w:t>
      </w:r>
    </w:p>
    <w:p w14:paraId="7170F023" w14:textId="77777777" w:rsidR="00DF0B23" w:rsidRPr="00297E43" w:rsidRDefault="00DF0B23" w:rsidP="005B5E5B">
      <w:pPr>
        <w:rPr>
          <w:color w:val="auto"/>
        </w:rPr>
      </w:pPr>
      <w:r w:rsidRPr="00297E43">
        <w:rPr>
          <w:color w:val="auto"/>
        </w:rPr>
        <w:t>O Plano de Contingência estabelecido, contempla</w:t>
      </w:r>
      <w:r w:rsidR="00242905" w:rsidRPr="00297E43">
        <w:rPr>
          <w:color w:val="auto"/>
        </w:rPr>
        <w:t xml:space="preserve"> a abrangência exigida pela Resolução CMN n° 3.922/2010, em seu Art. 4°, inciso VIII, ou seja, entende-se por “contingência” no âmbito desta Política de Investimentos a </w:t>
      </w:r>
      <w:r w:rsidR="00242905" w:rsidRPr="00297E43">
        <w:rPr>
          <w:b/>
          <w:color w:val="auto"/>
        </w:rPr>
        <w:t>excessiva exposição a riscos ou potenciais perdas dos recursos</w:t>
      </w:r>
      <w:r w:rsidR="00242905" w:rsidRPr="00297E43">
        <w:rPr>
          <w:color w:val="auto"/>
        </w:rPr>
        <w:t>.</w:t>
      </w:r>
    </w:p>
    <w:p w14:paraId="6264FCF5" w14:textId="68342D11" w:rsidR="00242905" w:rsidRPr="00297E43" w:rsidRDefault="0005223A" w:rsidP="005B5E5B">
      <w:pPr>
        <w:rPr>
          <w:color w:val="auto"/>
        </w:rPr>
      </w:pPr>
      <w:r w:rsidRPr="00297E43">
        <w:rPr>
          <w:color w:val="auto"/>
        </w:rPr>
        <w:t>Com a identificação clara das contingências chegamos ao desenvolvimento do plano no processo d</w:t>
      </w:r>
      <w:r w:rsidR="00DF0B23" w:rsidRPr="00297E43">
        <w:rPr>
          <w:color w:val="auto"/>
        </w:rPr>
        <w:t>os</w:t>
      </w:r>
      <w:r w:rsidRPr="00297E43">
        <w:rPr>
          <w:color w:val="auto"/>
        </w:rPr>
        <w:t xml:space="preserve"> investimentos, que abrange não somente a Diretoria Executiva, como o Comitê de Investimentos e o Conselho Deliberativo.</w:t>
      </w:r>
    </w:p>
    <w:p w14:paraId="5398BDF6" w14:textId="2ABE555A" w:rsidR="0005223A" w:rsidRPr="00297E43" w:rsidRDefault="0005223A" w:rsidP="00314466">
      <w:pPr>
        <w:pStyle w:val="Ttulo2"/>
        <w:rPr>
          <w:color w:val="auto"/>
        </w:rPr>
      </w:pPr>
      <w:bookmarkStart w:id="131" w:name="_Toc20130626"/>
      <w:r w:rsidRPr="00297E43">
        <w:rPr>
          <w:color w:val="auto"/>
        </w:rPr>
        <w:t>EXPOSIÇÃO A RISCO</w:t>
      </w:r>
      <w:bookmarkEnd w:id="131"/>
    </w:p>
    <w:p w14:paraId="33351AF7" w14:textId="4394137C" w:rsidR="0021686F" w:rsidRPr="00297E43" w:rsidRDefault="008E4EE1" w:rsidP="005B5E5B">
      <w:pPr>
        <w:rPr>
          <w:color w:val="auto"/>
        </w:rPr>
      </w:pPr>
      <w:r w:rsidRPr="00297E43">
        <w:rPr>
          <w:color w:val="auto"/>
        </w:rPr>
        <w:t xml:space="preserve">Entende-se como </w:t>
      </w:r>
      <w:r w:rsidR="00DF0B23" w:rsidRPr="00297E43">
        <w:rPr>
          <w:color w:val="auto"/>
        </w:rPr>
        <w:t>Exposição a Risco</w:t>
      </w:r>
      <w:r w:rsidRPr="00297E43">
        <w:rPr>
          <w:color w:val="auto"/>
        </w:rPr>
        <w:t xml:space="preserve"> os investimentos que direcionam a carteira de investimentos do </w:t>
      </w:r>
      <w:r w:rsidR="00314466" w:rsidRPr="00297E43">
        <w:rPr>
          <w:b/>
          <w:bCs/>
          <w:color w:val="auto"/>
          <w:szCs w:val="20"/>
        </w:rPr>
        <w:t>INSTITUTO DE PREVIDÊNCIA DOS SERVIDORES PÚBLICOS DO MUNICÍPIO DE BOM JESUS DOS PERDÕES – PREV BOM JESUS</w:t>
      </w:r>
      <w:r w:rsidR="00314466" w:rsidRPr="00297E43">
        <w:rPr>
          <w:color w:val="auto"/>
        </w:rPr>
        <w:t xml:space="preserve"> </w:t>
      </w:r>
      <w:r w:rsidRPr="00297E43">
        <w:rPr>
          <w:color w:val="auto"/>
        </w:rPr>
        <w:t>para o não cumprimento dos limites, requisitos e normas estabelecidos aos RPPS.</w:t>
      </w:r>
    </w:p>
    <w:p w14:paraId="13EB3B71" w14:textId="0FF37715" w:rsidR="008E4EE1" w:rsidRPr="00297E43" w:rsidRDefault="008E4EE1" w:rsidP="005B5E5B">
      <w:pPr>
        <w:rPr>
          <w:color w:val="auto"/>
        </w:rPr>
      </w:pPr>
      <w:r w:rsidRPr="00297E43">
        <w:rPr>
          <w:color w:val="auto"/>
        </w:rPr>
        <w:t>O não cumprimento dos limites, requisitos e normas estabelecidos, podem ser classificados como sendo:</w:t>
      </w:r>
    </w:p>
    <w:p w14:paraId="7301F9EA" w14:textId="77777777" w:rsidR="005B5E5B" w:rsidRPr="00297E43" w:rsidRDefault="008E4EE1" w:rsidP="000A54AE">
      <w:pPr>
        <w:pStyle w:val="PargrafodaLista"/>
        <w:numPr>
          <w:ilvl w:val="0"/>
          <w:numId w:val="33"/>
        </w:numPr>
        <w:rPr>
          <w:color w:val="auto"/>
        </w:rPr>
      </w:pPr>
      <w:r w:rsidRPr="00297E43">
        <w:rPr>
          <w:color w:val="auto"/>
        </w:rPr>
        <w:t xml:space="preserve">Desenquadramento da </w:t>
      </w:r>
      <w:r w:rsidR="00953BF2" w:rsidRPr="00297E43">
        <w:rPr>
          <w:color w:val="auto"/>
        </w:rPr>
        <w:t>C</w:t>
      </w:r>
      <w:r w:rsidRPr="00297E43">
        <w:rPr>
          <w:color w:val="auto"/>
        </w:rPr>
        <w:t xml:space="preserve">arteira de </w:t>
      </w:r>
      <w:r w:rsidR="00953BF2" w:rsidRPr="00297E43">
        <w:rPr>
          <w:color w:val="auto"/>
        </w:rPr>
        <w:t>I</w:t>
      </w:r>
      <w:r w:rsidRPr="00297E43">
        <w:rPr>
          <w:color w:val="auto"/>
        </w:rPr>
        <w:t>nvestimentos;</w:t>
      </w:r>
    </w:p>
    <w:p w14:paraId="4FEEF7C2" w14:textId="77777777" w:rsidR="005B5E5B" w:rsidRPr="00297E43" w:rsidRDefault="008E4EE1" w:rsidP="000A54AE">
      <w:pPr>
        <w:pStyle w:val="PargrafodaLista"/>
        <w:numPr>
          <w:ilvl w:val="0"/>
          <w:numId w:val="33"/>
        </w:numPr>
        <w:rPr>
          <w:color w:val="auto"/>
        </w:rPr>
      </w:pPr>
      <w:r w:rsidRPr="00297E43">
        <w:rPr>
          <w:color w:val="auto"/>
        </w:rPr>
        <w:t>Desenquadramento do</w:t>
      </w:r>
      <w:r w:rsidR="00953BF2" w:rsidRPr="00297E43">
        <w:rPr>
          <w:color w:val="auto"/>
        </w:rPr>
        <w:t xml:space="preserve"> F</w:t>
      </w:r>
      <w:r w:rsidRPr="00297E43">
        <w:rPr>
          <w:color w:val="auto"/>
        </w:rPr>
        <w:t xml:space="preserve">undo de </w:t>
      </w:r>
      <w:r w:rsidR="00953BF2" w:rsidRPr="00297E43">
        <w:rPr>
          <w:color w:val="auto"/>
        </w:rPr>
        <w:t>I</w:t>
      </w:r>
      <w:r w:rsidRPr="00297E43">
        <w:rPr>
          <w:color w:val="auto"/>
        </w:rPr>
        <w:t>nvestimento;</w:t>
      </w:r>
    </w:p>
    <w:p w14:paraId="043E7584" w14:textId="77777777" w:rsidR="005B5E5B" w:rsidRPr="00297E43" w:rsidRDefault="008E4EE1" w:rsidP="000A54AE">
      <w:pPr>
        <w:pStyle w:val="PargrafodaLista"/>
        <w:numPr>
          <w:ilvl w:val="0"/>
          <w:numId w:val="33"/>
        </w:numPr>
        <w:rPr>
          <w:color w:val="auto"/>
        </w:rPr>
      </w:pPr>
      <w:r w:rsidRPr="00297E43">
        <w:rPr>
          <w:color w:val="auto"/>
        </w:rPr>
        <w:t>Desenquadramento da Política de Investimentos;</w:t>
      </w:r>
    </w:p>
    <w:p w14:paraId="1D66C4E5" w14:textId="6B2EF948" w:rsidR="008E4EE1" w:rsidRPr="00297E43" w:rsidRDefault="00953BF2" w:rsidP="000A54AE">
      <w:pPr>
        <w:pStyle w:val="PargrafodaLista"/>
        <w:numPr>
          <w:ilvl w:val="0"/>
          <w:numId w:val="33"/>
        </w:numPr>
        <w:rPr>
          <w:color w:val="auto"/>
        </w:rPr>
      </w:pPr>
      <w:r w:rsidRPr="00297E43">
        <w:rPr>
          <w:color w:val="auto"/>
        </w:rPr>
        <w:t xml:space="preserve">Movimentações Financeiras não </w:t>
      </w:r>
      <w:r w:rsidR="00E51FB9" w:rsidRPr="00297E43">
        <w:rPr>
          <w:color w:val="auto"/>
        </w:rPr>
        <w:t>autorizadas</w:t>
      </w:r>
      <w:r w:rsidRPr="00297E43">
        <w:rPr>
          <w:color w:val="auto"/>
        </w:rPr>
        <w:t>;</w:t>
      </w:r>
    </w:p>
    <w:p w14:paraId="3BED6326" w14:textId="34B1C11D" w:rsidR="00201956" w:rsidRPr="00297E43" w:rsidRDefault="00953BF2" w:rsidP="005B5E5B">
      <w:pPr>
        <w:rPr>
          <w:color w:val="auto"/>
        </w:rPr>
      </w:pPr>
      <w:r w:rsidRPr="00297E43">
        <w:rPr>
          <w:color w:val="auto"/>
        </w:rPr>
        <w:t>Caso identificado o</w:t>
      </w:r>
      <w:r w:rsidR="0071269F" w:rsidRPr="00297E43">
        <w:rPr>
          <w:color w:val="auto"/>
        </w:rPr>
        <w:t xml:space="preserve"> </w:t>
      </w:r>
      <w:r w:rsidRPr="00297E43">
        <w:rPr>
          <w:color w:val="auto"/>
        </w:rPr>
        <w:t>não cumprimento</w:t>
      </w:r>
      <w:r w:rsidR="00DF0B23" w:rsidRPr="00297E43">
        <w:rPr>
          <w:color w:val="auto"/>
        </w:rPr>
        <w:t xml:space="preserve"> dos itens descritos</w:t>
      </w:r>
      <w:r w:rsidR="0071269F" w:rsidRPr="00297E43">
        <w:rPr>
          <w:color w:val="auto"/>
        </w:rPr>
        <w:t>, ficam os responsáveis pelos investimentos, devidamente definidos nesta Política de Investimentos, obrigados a:</w:t>
      </w:r>
    </w:p>
    <w:tbl>
      <w:tblPr>
        <w:tblStyle w:val="Tabelacomgrade"/>
        <w:tblW w:w="5000" w:type="pct"/>
        <w:tblLook w:val="04A0" w:firstRow="1" w:lastRow="0" w:firstColumn="1" w:lastColumn="0" w:noHBand="0" w:noVBand="1"/>
      </w:tblPr>
      <w:tblGrid>
        <w:gridCol w:w="3131"/>
        <w:gridCol w:w="3104"/>
        <w:gridCol w:w="3052"/>
      </w:tblGrid>
      <w:tr w:rsidR="00297E43" w:rsidRPr="00297E43" w14:paraId="1AA694DF" w14:textId="77777777" w:rsidTr="005B5E5B">
        <w:tc>
          <w:tcPr>
            <w:tcW w:w="1686" w:type="pct"/>
          </w:tcPr>
          <w:p w14:paraId="6A830B98" w14:textId="676DFF73" w:rsidR="0071269F" w:rsidRPr="00297E43" w:rsidRDefault="0071269F" w:rsidP="005B5E5B">
            <w:pPr>
              <w:jc w:val="center"/>
              <w:rPr>
                <w:b/>
                <w:color w:val="auto"/>
                <w:sz w:val="14"/>
              </w:rPr>
            </w:pPr>
            <w:r w:rsidRPr="00297E43">
              <w:rPr>
                <w:b/>
                <w:color w:val="auto"/>
                <w:sz w:val="14"/>
              </w:rPr>
              <w:t>Contingências</w:t>
            </w:r>
          </w:p>
        </w:tc>
        <w:tc>
          <w:tcPr>
            <w:tcW w:w="1671" w:type="pct"/>
          </w:tcPr>
          <w:p w14:paraId="4060BC02" w14:textId="570CD53C" w:rsidR="0071269F" w:rsidRPr="00297E43" w:rsidRDefault="0071269F" w:rsidP="005B5E5B">
            <w:pPr>
              <w:jc w:val="center"/>
              <w:rPr>
                <w:b/>
                <w:color w:val="auto"/>
                <w:sz w:val="14"/>
              </w:rPr>
            </w:pPr>
            <w:r w:rsidRPr="00297E43">
              <w:rPr>
                <w:b/>
                <w:color w:val="auto"/>
                <w:sz w:val="14"/>
              </w:rPr>
              <w:t>Medidas</w:t>
            </w:r>
          </w:p>
        </w:tc>
        <w:tc>
          <w:tcPr>
            <w:tcW w:w="1643" w:type="pct"/>
          </w:tcPr>
          <w:p w14:paraId="5A1960E2" w14:textId="70AEEE04" w:rsidR="0071269F" w:rsidRPr="00297E43" w:rsidRDefault="0071269F" w:rsidP="005B5E5B">
            <w:pPr>
              <w:jc w:val="center"/>
              <w:rPr>
                <w:b/>
                <w:color w:val="auto"/>
                <w:sz w:val="14"/>
              </w:rPr>
            </w:pPr>
            <w:r w:rsidRPr="00297E43">
              <w:rPr>
                <w:b/>
                <w:color w:val="auto"/>
                <w:sz w:val="14"/>
              </w:rPr>
              <w:t>Resolução</w:t>
            </w:r>
          </w:p>
        </w:tc>
      </w:tr>
      <w:tr w:rsidR="00297E43" w:rsidRPr="00297E43" w14:paraId="6855D352" w14:textId="77777777" w:rsidTr="005B5E5B">
        <w:tc>
          <w:tcPr>
            <w:tcW w:w="1686" w:type="pct"/>
            <w:vAlign w:val="center"/>
          </w:tcPr>
          <w:p w14:paraId="03A9EF87" w14:textId="4348C4EB" w:rsidR="0071269F" w:rsidRPr="00297E43" w:rsidRDefault="00953BF2" w:rsidP="005B5E5B">
            <w:pPr>
              <w:jc w:val="left"/>
              <w:rPr>
                <w:color w:val="auto"/>
                <w:sz w:val="14"/>
              </w:rPr>
            </w:pPr>
            <w:r w:rsidRPr="00297E43">
              <w:rPr>
                <w:color w:val="auto"/>
                <w:sz w:val="14"/>
              </w:rPr>
              <w:t xml:space="preserve">1 – </w:t>
            </w:r>
            <w:proofErr w:type="spellStart"/>
            <w:r w:rsidRPr="00297E43">
              <w:rPr>
                <w:color w:val="auto"/>
                <w:sz w:val="14"/>
              </w:rPr>
              <w:t>Desenquadramento</w:t>
            </w:r>
            <w:proofErr w:type="spellEnd"/>
            <w:r w:rsidRPr="00297E43">
              <w:rPr>
                <w:color w:val="auto"/>
                <w:sz w:val="14"/>
              </w:rPr>
              <w:t xml:space="preserve"> da Carteira de Investimentos</w:t>
            </w:r>
          </w:p>
        </w:tc>
        <w:tc>
          <w:tcPr>
            <w:tcW w:w="1671" w:type="pct"/>
          </w:tcPr>
          <w:p w14:paraId="021104D8" w14:textId="0CBB5BAC" w:rsidR="0071269F" w:rsidRPr="00297E43" w:rsidRDefault="00953BF2" w:rsidP="005B5E5B">
            <w:pPr>
              <w:rPr>
                <w:color w:val="auto"/>
                <w:sz w:val="14"/>
              </w:rPr>
            </w:pPr>
            <w:r w:rsidRPr="00297E43">
              <w:rPr>
                <w:color w:val="auto"/>
                <w:sz w:val="14"/>
              </w:rPr>
              <w:t>a) Apuração das causas acompanhado de relatório;</w:t>
            </w:r>
          </w:p>
          <w:p w14:paraId="2839E3CA" w14:textId="2F5D4179" w:rsidR="00953BF2" w:rsidRPr="00297E43" w:rsidRDefault="00953BF2" w:rsidP="005B5E5B">
            <w:pPr>
              <w:rPr>
                <w:color w:val="auto"/>
                <w:sz w:val="14"/>
              </w:rPr>
            </w:pPr>
            <w:r w:rsidRPr="00297E43">
              <w:rPr>
                <w:color w:val="auto"/>
                <w:sz w:val="14"/>
              </w:rPr>
              <w:t>b) Identificação dos envolvidos a contar do início do processo;</w:t>
            </w:r>
          </w:p>
          <w:p w14:paraId="2956D095" w14:textId="7A7A78B8" w:rsidR="00953BF2" w:rsidRPr="00297E43" w:rsidRDefault="00953BF2" w:rsidP="005B5E5B">
            <w:pPr>
              <w:rPr>
                <w:color w:val="auto"/>
                <w:sz w:val="14"/>
              </w:rPr>
            </w:pPr>
            <w:r w:rsidRPr="00297E43">
              <w:rPr>
                <w:color w:val="auto"/>
                <w:sz w:val="14"/>
              </w:rPr>
              <w:t>c) Estudo Técnico com a viabilidade para o enquadramento.</w:t>
            </w:r>
          </w:p>
        </w:tc>
        <w:tc>
          <w:tcPr>
            <w:tcW w:w="1643" w:type="pct"/>
            <w:vAlign w:val="center"/>
          </w:tcPr>
          <w:p w14:paraId="028CA2FF" w14:textId="396AE304" w:rsidR="0071269F" w:rsidRPr="00297E43" w:rsidRDefault="00953BF2" w:rsidP="005B5E5B">
            <w:pPr>
              <w:jc w:val="left"/>
              <w:rPr>
                <w:color w:val="auto"/>
                <w:sz w:val="14"/>
              </w:rPr>
            </w:pPr>
            <w:r w:rsidRPr="00297E43">
              <w:rPr>
                <w:color w:val="auto"/>
                <w:sz w:val="14"/>
              </w:rPr>
              <w:t>Curto, Médio e Longo Prazo</w:t>
            </w:r>
          </w:p>
        </w:tc>
      </w:tr>
      <w:tr w:rsidR="00297E43" w:rsidRPr="00297E43" w14:paraId="02A561AD" w14:textId="77777777" w:rsidTr="005B5E5B">
        <w:tc>
          <w:tcPr>
            <w:tcW w:w="1686" w:type="pct"/>
            <w:vAlign w:val="center"/>
          </w:tcPr>
          <w:p w14:paraId="0A4159A4" w14:textId="006C1C86" w:rsidR="0071269F" w:rsidRPr="00297E43" w:rsidRDefault="00953BF2" w:rsidP="005B5E5B">
            <w:pPr>
              <w:jc w:val="left"/>
              <w:rPr>
                <w:color w:val="auto"/>
                <w:sz w:val="14"/>
              </w:rPr>
            </w:pPr>
            <w:r w:rsidRPr="00297E43">
              <w:rPr>
                <w:color w:val="auto"/>
                <w:sz w:val="14"/>
              </w:rPr>
              <w:t xml:space="preserve">2 – </w:t>
            </w:r>
            <w:proofErr w:type="spellStart"/>
            <w:r w:rsidRPr="00297E43">
              <w:rPr>
                <w:color w:val="auto"/>
                <w:sz w:val="14"/>
              </w:rPr>
              <w:t>Desenquadramento</w:t>
            </w:r>
            <w:proofErr w:type="spellEnd"/>
            <w:r w:rsidRPr="00297E43">
              <w:rPr>
                <w:color w:val="auto"/>
                <w:sz w:val="14"/>
              </w:rPr>
              <w:t xml:space="preserve"> do Fundo de Investimento</w:t>
            </w:r>
          </w:p>
        </w:tc>
        <w:tc>
          <w:tcPr>
            <w:tcW w:w="1671" w:type="pct"/>
          </w:tcPr>
          <w:p w14:paraId="0C7BC329" w14:textId="77777777" w:rsidR="00953BF2" w:rsidRPr="00297E43" w:rsidRDefault="00953BF2" w:rsidP="005B5E5B">
            <w:pPr>
              <w:rPr>
                <w:color w:val="auto"/>
                <w:sz w:val="14"/>
              </w:rPr>
            </w:pPr>
            <w:r w:rsidRPr="00297E43">
              <w:rPr>
                <w:color w:val="auto"/>
                <w:sz w:val="14"/>
              </w:rPr>
              <w:t>a) Apuração das causas acompanhado de relatório;</w:t>
            </w:r>
          </w:p>
          <w:p w14:paraId="02FAADCD" w14:textId="77777777" w:rsidR="00953BF2" w:rsidRPr="00297E43" w:rsidRDefault="00953BF2" w:rsidP="005B5E5B">
            <w:pPr>
              <w:rPr>
                <w:color w:val="auto"/>
                <w:sz w:val="14"/>
              </w:rPr>
            </w:pPr>
            <w:r w:rsidRPr="00297E43">
              <w:rPr>
                <w:color w:val="auto"/>
                <w:sz w:val="14"/>
              </w:rPr>
              <w:t>b) Identificação dos envolvidos a contar do início do processo;</w:t>
            </w:r>
          </w:p>
          <w:p w14:paraId="0818AB45" w14:textId="65EA43E6" w:rsidR="0071269F" w:rsidRPr="00297E43" w:rsidRDefault="00953BF2" w:rsidP="005B5E5B">
            <w:pPr>
              <w:rPr>
                <w:color w:val="auto"/>
                <w:sz w:val="14"/>
              </w:rPr>
            </w:pPr>
            <w:r w:rsidRPr="00297E43">
              <w:rPr>
                <w:color w:val="auto"/>
                <w:sz w:val="14"/>
              </w:rPr>
              <w:t>c) Estudo Técnico com a viabilidade para o enquadramento.</w:t>
            </w:r>
          </w:p>
        </w:tc>
        <w:tc>
          <w:tcPr>
            <w:tcW w:w="1643" w:type="pct"/>
            <w:vAlign w:val="center"/>
          </w:tcPr>
          <w:p w14:paraId="356F1C81" w14:textId="74F6A87B" w:rsidR="0071269F" w:rsidRPr="00297E43" w:rsidRDefault="00953BF2" w:rsidP="005B5E5B">
            <w:pPr>
              <w:jc w:val="left"/>
              <w:rPr>
                <w:color w:val="auto"/>
                <w:sz w:val="14"/>
              </w:rPr>
            </w:pPr>
            <w:r w:rsidRPr="00297E43">
              <w:rPr>
                <w:color w:val="auto"/>
                <w:sz w:val="14"/>
              </w:rPr>
              <w:t>Curto, Médio e Longo Prazo</w:t>
            </w:r>
          </w:p>
        </w:tc>
      </w:tr>
      <w:tr w:rsidR="00297E43" w:rsidRPr="00297E43" w14:paraId="763854B4" w14:textId="77777777" w:rsidTr="005B5E5B">
        <w:tc>
          <w:tcPr>
            <w:tcW w:w="1686" w:type="pct"/>
            <w:vAlign w:val="center"/>
          </w:tcPr>
          <w:p w14:paraId="1AD8D4C6" w14:textId="6E843CB4" w:rsidR="0071269F" w:rsidRPr="00297E43" w:rsidRDefault="00953BF2" w:rsidP="005B5E5B">
            <w:pPr>
              <w:jc w:val="left"/>
              <w:rPr>
                <w:color w:val="auto"/>
                <w:sz w:val="14"/>
              </w:rPr>
            </w:pPr>
            <w:r w:rsidRPr="00297E43">
              <w:rPr>
                <w:color w:val="auto"/>
                <w:sz w:val="14"/>
              </w:rPr>
              <w:t xml:space="preserve">3 – </w:t>
            </w:r>
            <w:proofErr w:type="spellStart"/>
            <w:r w:rsidRPr="00297E43">
              <w:rPr>
                <w:color w:val="auto"/>
                <w:sz w:val="14"/>
              </w:rPr>
              <w:t>Desenquadramento</w:t>
            </w:r>
            <w:proofErr w:type="spellEnd"/>
            <w:r w:rsidRPr="00297E43">
              <w:rPr>
                <w:color w:val="auto"/>
                <w:sz w:val="14"/>
              </w:rPr>
              <w:t xml:space="preserve"> da Política de Investimentos</w:t>
            </w:r>
          </w:p>
        </w:tc>
        <w:tc>
          <w:tcPr>
            <w:tcW w:w="1671" w:type="pct"/>
          </w:tcPr>
          <w:p w14:paraId="2101E9E6" w14:textId="77777777" w:rsidR="00953BF2" w:rsidRPr="00297E43" w:rsidRDefault="00953BF2" w:rsidP="005B5E5B">
            <w:pPr>
              <w:rPr>
                <w:color w:val="auto"/>
                <w:sz w:val="14"/>
              </w:rPr>
            </w:pPr>
            <w:r w:rsidRPr="00297E43">
              <w:rPr>
                <w:color w:val="auto"/>
                <w:sz w:val="14"/>
              </w:rPr>
              <w:t>a) Apuração das causas acompanhado de relatório;</w:t>
            </w:r>
          </w:p>
          <w:p w14:paraId="6176DEDD" w14:textId="77777777" w:rsidR="00953BF2" w:rsidRPr="00297E43" w:rsidRDefault="00953BF2" w:rsidP="005B5E5B">
            <w:pPr>
              <w:rPr>
                <w:color w:val="auto"/>
                <w:sz w:val="14"/>
              </w:rPr>
            </w:pPr>
            <w:r w:rsidRPr="00297E43">
              <w:rPr>
                <w:color w:val="auto"/>
                <w:sz w:val="14"/>
              </w:rPr>
              <w:t>b) Identificação dos envolvidos a contar do início do processo;</w:t>
            </w:r>
          </w:p>
          <w:p w14:paraId="0B676AD4" w14:textId="2850BAF9" w:rsidR="0071269F" w:rsidRPr="00297E43" w:rsidRDefault="00953BF2" w:rsidP="005B5E5B">
            <w:pPr>
              <w:rPr>
                <w:color w:val="auto"/>
                <w:sz w:val="14"/>
              </w:rPr>
            </w:pPr>
            <w:r w:rsidRPr="00297E43">
              <w:rPr>
                <w:color w:val="auto"/>
                <w:sz w:val="14"/>
              </w:rPr>
              <w:t>c) Estudo Técnico com a viabilidade para o enquadramento.</w:t>
            </w:r>
          </w:p>
        </w:tc>
        <w:tc>
          <w:tcPr>
            <w:tcW w:w="1643" w:type="pct"/>
            <w:vAlign w:val="center"/>
          </w:tcPr>
          <w:p w14:paraId="1979F1A7" w14:textId="50732898" w:rsidR="0071269F" w:rsidRPr="00297E43" w:rsidRDefault="00CB5DCF" w:rsidP="005B5E5B">
            <w:pPr>
              <w:jc w:val="left"/>
              <w:rPr>
                <w:color w:val="auto"/>
                <w:sz w:val="14"/>
              </w:rPr>
            </w:pPr>
            <w:r w:rsidRPr="00297E43">
              <w:rPr>
                <w:color w:val="auto"/>
                <w:sz w:val="14"/>
              </w:rPr>
              <w:t>Curto, Médio e Longo Prazo</w:t>
            </w:r>
          </w:p>
        </w:tc>
      </w:tr>
      <w:tr w:rsidR="00297E43" w:rsidRPr="00297E43" w14:paraId="04825EF0" w14:textId="77777777" w:rsidTr="005B5E5B">
        <w:tc>
          <w:tcPr>
            <w:tcW w:w="1686" w:type="pct"/>
            <w:vAlign w:val="center"/>
          </w:tcPr>
          <w:p w14:paraId="0A59061D" w14:textId="5A82E324" w:rsidR="00CB5DCF" w:rsidRPr="00297E43" w:rsidRDefault="00CB5DCF" w:rsidP="005B5E5B">
            <w:pPr>
              <w:jc w:val="left"/>
              <w:rPr>
                <w:color w:val="auto"/>
                <w:sz w:val="14"/>
              </w:rPr>
            </w:pPr>
            <w:r w:rsidRPr="00297E43">
              <w:rPr>
                <w:color w:val="auto"/>
                <w:sz w:val="14"/>
              </w:rPr>
              <w:t xml:space="preserve">4 – Movimentações Financeiras não </w:t>
            </w:r>
            <w:r w:rsidR="00E51FB9" w:rsidRPr="00297E43">
              <w:rPr>
                <w:color w:val="auto"/>
                <w:sz w:val="14"/>
              </w:rPr>
              <w:t>autorizadas</w:t>
            </w:r>
          </w:p>
        </w:tc>
        <w:tc>
          <w:tcPr>
            <w:tcW w:w="1671" w:type="pct"/>
          </w:tcPr>
          <w:p w14:paraId="21B5E58D" w14:textId="77777777" w:rsidR="00CB5DCF" w:rsidRPr="00297E43" w:rsidRDefault="00CB5DCF" w:rsidP="005B5E5B">
            <w:pPr>
              <w:rPr>
                <w:color w:val="auto"/>
                <w:sz w:val="14"/>
              </w:rPr>
            </w:pPr>
            <w:r w:rsidRPr="00297E43">
              <w:rPr>
                <w:color w:val="auto"/>
                <w:sz w:val="14"/>
              </w:rPr>
              <w:t>a) Apuração das causas acompanhado de relatório;</w:t>
            </w:r>
          </w:p>
          <w:p w14:paraId="5A3421DF" w14:textId="77777777" w:rsidR="00CB5DCF" w:rsidRPr="00297E43" w:rsidRDefault="00CB5DCF" w:rsidP="005B5E5B">
            <w:pPr>
              <w:rPr>
                <w:color w:val="auto"/>
                <w:sz w:val="14"/>
              </w:rPr>
            </w:pPr>
            <w:r w:rsidRPr="00297E43">
              <w:rPr>
                <w:color w:val="auto"/>
                <w:sz w:val="14"/>
              </w:rPr>
              <w:t>b) Identificação dos envolvidos a contar do início do processo;</w:t>
            </w:r>
          </w:p>
          <w:p w14:paraId="200240CE" w14:textId="77777777" w:rsidR="00CB5DCF" w:rsidRPr="00297E43" w:rsidRDefault="00CB5DCF" w:rsidP="005B5E5B">
            <w:pPr>
              <w:rPr>
                <w:color w:val="auto"/>
                <w:sz w:val="14"/>
              </w:rPr>
            </w:pPr>
            <w:r w:rsidRPr="00297E43">
              <w:rPr>
                <w:color w:val="auto"/>
                <w:sz w:val="14"/>
              </w:rPr>
              <w:t>c) Estudo Técnico com a viabilidade para resolução;</w:t>
            </w:r>
          </w:p>
          <w:p w14:paraId="144C4CD2" w14:textId="5E2C4162" w:rsidR="00CB5DCF" w:rsidRPr="00297E43" w:rsidRDefault="00CB5DCF" w:rsidP="005B5E5B">
            <w:pPr>
              <w:rPr>
                <w:color w:val="auto"/>
                <w:sz w:val="14"/>
              </w:rPr>
            </w:pPr>
            <w:r w:rsidRPr="00297E43">
              <w:rPr>
                <w:color w:val="auto"/>
                <w:sz w:val="14"/>
              </w:rPr>
              <w:t>d) Ações e Medidas, se necessárias, judiciais para a responsabilização dos responsáveis.</w:t>
            </w:r>
          </w:p>
        </w:tc>
        <w:tc>
          <w:tcPr>
            <w:tcW w:w="1643" w:type="pct"/>
            <w:vAlign w:val="center"/>
          </w:tcPr>
          <w:p w14:paraId="4E2BE1CD" w14:textId="2A8BDC8C" w:rsidR="00CB5DCF" w:rsidRPr="00297E43" w:rsidRDefault="00CB5DCF" w:rsidP="005B5E5B">
            <w:pPr>
              <w:jc w:val="left"/>
              <w:rPr>
                <w:color w:val="auto"/>
                <w:sz w:val="14"/>
              </w:rPr>
            </w:pPr>
            <w:r w:rsidRPr="00297E43">
              <w:rPr>
                <w:color w:val="auto"/>
                <w:sz w:val="14"/>
              </w:rPr>
              <w:t>Curto, Médio e Longo Prazo</w:t>
            </w:r>
          </w:p>
        </w:tc>
      </w:tr>
    </w:tbl>
    <w:p w14:paraId="630AD50E" w14:textId="3DF8A53D" w:rsidR="00DF0B23" w:rsidRPr="00297E43" w:rsidRDefault="00DF0B23" w:rsidP="005B5E5B">
      <w:pPr>
        <w:ind w:left="576"/>
        <w:rPr>
          <w:color w:val="auto"/>
        </w:rPr>
      </w:pPr>
    </w:p>
    <w:p w14:paraId="58BAB6FB" w14:textId="2B246B58" w:rsidR="00C43FDD" w:rsidRPr="00297E43" w:rsidRDefault="00C43FDD" w:rsidP="00314466">
      <w:pPr>
        <w:pStyle w:val="Ttulo2"/>
        <w:rPr>
          <w:color w:val="auto"/>
        </w:rPr>
      </w:pPr>
      <w:bookmarkStart w:id="132" w:name="_Toc20130627"/>
      <w:r w:rsidRPr="00297E43">
        <w:rPr>
          <w:color w:val="auto"/>
        </w:rPr>
        <w:t>POTENCIAIS PERDAS DOS RECURSOS</w:t>
      </w:r>
      <w:bookmarkEnd w:id="132"/>
    </w:p>
    <w:p w14:paraId="487D3001" w14:textId="0A8E69BB" w:rsidR="004A2AF2" w:rsidRPr="00297E43" w:rsidRDefault="00C44EBF" w:rsidP="005B5E5B">
      <w:pPr>
        <w:rPr>
          <w:color w:val="auto"/>
        </w:rPr>
      </w:pPr>
      <w:r w:rsidRPr="00297E43">
        <w:rPr>
          <w:color w:val="auto"/>
        </w:rPr>
        <w:t xml:space="preserve">Entende como potencias perdas dos recursos </w:t>
      </w:r>
      <w:r w:rsidR="00B77CE0" w:rsidRPr="00297E43">
        <w:rPr>
          <w:color w:val="auto"/>
        </w:rPr>
        <w:t xml:space="preserve">os </w:t>
      </w:r>
      <w:r w:rsidRPr="00297E43">
        <w:rPr>
          <w:color w:val="auto"/>
        </w:rPr>
        <w:t xml:space="preserve">volumes </w:t>
      </w:r>
      <w:r w:rsidR="004A2AF2" w:rsidRPr="00297E43">
        <w:rPr>
          <w:color w:val="auto"/>
        </w:rPr>
        <w:t xml:space="preserve">expressivos </w:t>
      </w:r>
      <w:r w:rsidR="00B77CE0" w:rsidRPr="00297E43">
        <w:rPr>
          <w:color w:val="auto"/>
        </w:rPr>
        <w:t>provenientes de fundos de investimentos diretamente atrelados aos riscos</w:t>
      </w:r>
      <w:r w:rsidRPr="00297E43">
        <w:rPr>
          <w:color w:val="auto"/>
        </w:rPr>
        <w:t xml:space="preserve"> de mercado, crédito e liquidez.</w:t>
      </w:r>
    </w:p>
    <w:tbl>
      <w:tblPr>
        <w:tblStyle w:val="Tabelacomgrade"/>
        <w:tblW w:w="5000" w:type="pct"/>
        <w:tblLook w:val="04A0" w:firstRow="1" w:lastRow="0" w:firstColumn="1" w:lastColumn="0" w:noHBand="0" w:noVBand="1"/>
      </w:tblPr>
      <w:tblGrid>
        <w:gridCol w:w="3131"/>
        <w:gridCol w:w="3104"/>
        <w:gridCol w:w="3052"/>
      </w:tblGrid>
      <w:tr w:rsidR="00297E43" w:rsidRPr="00297E43" w14:paraId="256B2226" w14:textId="77777777" w:rsidTr="005B5E5B">
        <w:tc>
          <w:tcPr>
            <w:tcW w:w="1686" w:type="pct"/>
          </w:tcPr>
          <w:p w14:paraId="239A80B9" w14:textId="77777777" w:rsidR="00811CB0" w:rsidRPr="00297E43" w:rsidRDefault="00811CB0" w:rsidP="00435A6C">
            <w:pPr>
              <w:jc w:val="center"/>
              <w:rPr>
                <w:b/>
                <w:color w:val="auto"/>
                <w:sz w:val="14"/>
                <w:szCs w:val="14"/>
              </w:rPr>
            </w:pPr>
            <w:r w:rsidRPr="00297E43">
              <w:rPr>
                <w:b/>
                <w:color w:val="auto"/>
                <w:sz w:val="14"/>
                <w:szCs w:val="14"/>
              </w:rPr>
              <w:t>Contingências</w:t>
            </w:r>
          </w:p>
        </w:tc>
        <w:tc>
          <w:tcPr>
            <w:tcW w:w="1671" w:type="pct"/>
          </w:tcPr>
          <w:p w14:paraId="7948ED81" w14:textId="77777777" w:rsidR="00811CB0" w:rsidRPr="00297E43" w:rsidRDefault="00811CB0" w:rsidP="00435A6C">
            <w:pPr>
              <w:jc w:val="center"/>
              <w:rPr>
                <w:b/>
                <w:color w:val="auto"/>
                <w:sz w:val="14"/>
                <w:szCs w:val="14"/>
              </w:rPr>
            </w:pPr>
            <w:r w:rsidRPr="00297E43">
              <w:rPr>
                <w:b/>
                <w:color w:val="auto"/>
                <w:sz w:val="14"/>
                <w:szCs w:val="14"/>
              </w:rPr>
              <w:t>Medidas</w:t>
            </w:r>
          </w:p>
        </w:tc>
        <w:tc>
          <w:tcPr>
            <w:tcW w:w="1643" w:type="pct"/>
          </w:tcPr>
          <w:p w14:paraId="7DCC65D2" w14:textId="77777777" w:rsidR="00811CB0" w:rsidRPr="00297E43" w:rsidRDefault="00811CB0" w:rsidP="00435A6C">
            <w:pPr>
              <w:jc w:val="center"/>
              <w:rPr>
                <w:b/>
                <w:color w:val="auto"/>
                <w:sz w:val="14"/>
                <w:szCs w:val="14"/>
              </w:rPr>
            </w:pPr>
            <w:r w:rsidRPr="00297E43">
              <w:rPr>
                <w:b/>
                <w:color w:val="auto"/>
                <w:sz w:val="14"/>
                <w:szCs w:val="14"/>
              </w:rPr>
              <w:t>Resolução</w:t>
            </w:r>
          </w:p>
        </w:tc>
      </w:tr>
      <w:tr w:rsidR="00297E43" w:rsidRPr="00297E43" w14:paraId="05EB2953" w14:textId="77777777" w:rsidTr="005B5E5B">
        <w:tc>
          <w:tcPr>
            <w:tcW w:w="1686" w:type="pct"/>
          </w:tcPr>
          <w:p w14:paraId="1A09E532" w14:textId="71573AF4" w:rsidR="00811CB0" w:rsidRPr="00297E43" w:rsidRDefault="00811CB0">
            <w:pPr>
              <w:rPr>
                <w:color w:val="auto"/>
                <w:sz w:val="14"/>
                <w:szCs w:val="14"/>
              </w:rPr>
            </w:pPr>
            <w:r w:rsidRPr="00297E43">
              <w:rPr>
                <w:color w:val="auto"/>
                <w:sz w:val="14"/>
                <w:szCs w:val="14"/>
              </w:rPr>
              <w:t>1 – Potenciais perdas de recursos</w:t>
            </w:r>
          </w:p>
        </w:tc>
        <w:tc>
          <w:tcPr>
            <w:tcW w:w="1671" w:type="pct"/>
          </w:tcPr>
          <w:p w14:paraId="08AA7D65" w14:textId="77777777" w:rsidR="00811CB0" w:rsidRPr="00297E43" w:rsidRDefault="00811CB0" w:rsidP="00435A6C">
            <w:pPr>
              <w:rPr>
                <w:color w:val="auto"/>
                <w:sz w:val="14"/>
                <w:szCs w:val="14"/>
              </w:rPr>
            </w:pPr>
            <w:r w:rsidRPr="00297E43">
              <w:rPr>
                <w:color w:val="auto"/>
                <w:sz w:val="14"/>
                <w:szCs w:val="14"/>
              </w:rPr>
              <w:t>a) Apuração das causas acompanhado de relatório;</w:t>
            </w:r>
          </w:p>
          <w:p w14:paraId="0F993115" w14:textId="77777777" w:rsidR="00811CB0" w:rsidRPr="00297E43" w:rsidRDefault="00811CB0" w:rsidP="00435A6C">
            <w:pPr>
              <w:rPr>
                <w:color w:val="auto"/>
                <w:sz w:val="14"/>
                <w:szCs w:val="14"/>
              </w:rPr>
            </w:pPr>
            <w:r w:rsidRPr="00297E43">
              <w:rPr>
                <w:color w:val="auto"/>
                <w:sz w:val="14"/>
                <w:szCs w:val="14"/>
              </w:rPr>
              <w:t>b) Identificação dos envolvidos a contar do início do processo;</w:t>
            </w:r>
          </w:p>
          <w:p w14:paraId="02FCBE9C" w14:textId="792820D0" w:rsidR="00811CB0" w:rsidRPr="00297E43" w:rsidRDefault="00811CB0">
            <w:pPr>
              <w:rPr>
                <w:color w:val="auto"/>
                <w:sz w:val="14"/>
                <w:szCs w:val="14"/>
              </w:rPr>
            </w:pPr>
            <w:r w:rsidRPr="00297E43">
              <w:rPr>
                <w:color w:val="auto"/>
                <w:sz w:val="14"/>
                <w:szCs w:val="14"/>
              </w:rPr>
              <w:t>c) Estudo Técnico com a viabilidade administrativa, financeira e se for o caso, jurídica.</w:t>
            </w:r>
          </w:p>
        </w:tc>
        <w:tc>
          <w:tcPr>
            <w:tcW w:w="1643" w:type="pct"/>
          </w:tcPr>
          <w:p w14:paraId="35292131" w14:textId="77777777" w:rsidR="00811CB0" w:rsidRPr="00297E43" w:rsidRDefault="00811CB0" w:rsidP="00435A6C">
            <w:pPr>
              <w:rPr>
                <w:color w:val="auto"/>
                <w:sz w:val="14"/>
                <w:szCs w:val="14"/>
              </w:rPr>
            </w:pPr>
            <w:r w:rsidRPr="00297E43">
              <w:rPr>
                <w:color w:val="auto"/>
                <w:sz w:val="14"/>
                <w:szCs w:val="14"/>
              </w:rPr>
              <w:t>Curto, Médio e Longo Prazo</w:t>
            </w:r>
          </w:p>
        </w:tc>
      </w:tr>
    </w:tbl>
    <w:p w14:paraId="559930B7" w14:textId="70EEC41B" w:rsidR="00F95781" w:rsidRPr="00297E43" w:rsidRDefault="00F95781">
      <w:pPr>
        <w:jc w:val="left"/>
        <w:rPr>
          <w:color w:val="auto"/>
        </w:rPr>
      </w:pPr>
      <w:r w:rsidRPr="00297E43">
        <w:rPr>
          <w:color w:val="auto"/>
        </w:rPr>
        <w:br w:type="page"/>
      </w:r>
    </w:p>
    <w:p w14:paraId="21464621" w14:textId="77777777" w:rsidR="006B0FB7" w:rsidRPr="00297E43" w:rsidRDefault="006B0FB7" w:rsidP="005B5E5B">
      <w:pPr>
        <w:pStyle w:val="Ttulo1"/>
        <w:rPr>
          <w:color w:val="auto"/>
        </w:rPr>
      </w:pPr>
      <w:bookmarkStart w:id="133" w:name="_Toc20130628"/>
      <w:r w:rsidRPr="00297E43">
        <w:rPr>
          <w:color w:val="auto"/>
        </w:rPr>
        <w:lastRenderedPageBreak/>
        <w:t>C</w:t>
      </w:r>
      <w:bookmarkEnd w:id="117"/>
      <w:r w:rsidRPr="00297E43">
        <w:rPr>
          <w:color w:val="auto"/>
        </w:rPr>
        <w:t>ONTROLES INTERNOS</w:t>
      </w:r>
      <w:bookmarkEnd w:id="118"/>
      <w:bookmarkEnd w:id="119"/>
      <w:bookmarkEnd w:id="133"/>
    </w:p>
    <w:p w14:paraId="52F902B0" w14:textId="72D1AF30" w:rsidR="00A22633" w:rsidRPr="00297E43" w:rsidRDefault="00A22633" w:rsidP="00A22633">
      <w:pPr>
        <w:spacing w:beforeLines="120" w:before="288" w:after="0" w:line="240" w:lineRule="auto"/>
        <w:rPr>
          <w:bCs/>
          <w:color w:val="auto"/>
          <w:szCs w:val="20"/>
        </w:rPr>
      </w:pPr>
      <w:r w:rsidRPr="00297E43">
        <w:rPr>
          <w:bCs/>
          <w:color w:val="auto"/>
          <w:szCs w:val="20"/>
        </w:rPr>
        <w:t xml:space="preserve">Antes de qualquer aplicação, resgate ou movimentações financeiras ocorridas na carteira de investimentos do </w:t>
      </w:r>
      <w:r w:rsidR="00314466" w:rsidRPr="00297E43">
        <w:rPr>
          <w:b/>
          <w:bCs/>
          <w:color w:val="auto"/>
          <w:szCs w:val="20"/>
        </w:rPr>
        <w:t>INSTITUTO DE PREVIDÊNCIA DOS SERVIDORES PÚBLICOS DO MUNICÍPIO DE BOM JESUS DOS PERDÕES – PREV BOM JESUS</w:t>
      </w:r>
      <w:r w:rsidRPr="00297E43">
        <w:rPr>
          <w:bCs/>
          <w:color w:val="auto"/>
          <w:szCs w:val="20"/>
        </w:rPr>
        <w:t xml:space="preserve"> os responsáveis pela gestão dos recursos deverão seguir todos os princípios e diretrizes envolvidos nos processos de aplicação dos investimentos.</w:t>
      </w:r>
    </w:p>
    <w:p w14:paraId="35E8FA12" w14:textId="77777777" w:rsidR="00A22633" w:rsidRPr="00297E43" w:rsidRDefault="00A22633" w:rsidP="00A22633">
      <w:pPr>
        <w:spacing w:beforeLines="120" w:before="288" w:after="0" w:line="240" w:lineRule="auto"/>
        <w:rPr>
          <w:bCs/>
          <w:color w:val="auto"/>
          <w:szCs w:val="20"/>
        </w:rPr>
      </w:pPr>
      <w:r w:rsidRPr="00297E43">
        <w:rPr>
          <w:bCs/>
          <w:color w:val="auto"/>
          <w:szCs w:val="20"/>
        </w:rPr>
        <w:t>Todos os ativos e valores mobiliários adquiridos pelo RPPS deverão ser registrados nos Sistemas de Liquidação e Custódia: SELIC, CETIP ou Câmaras de Compensação autorizadas pela CVM.</w:t>
      </w:r>
    </w:p>
    <w:p w14:paraId="45CE601A" w14:textId="77777777" w:rsidR="00A22633" w:rsidRPr="00297E43" w:rsidRDefault="00A22633" w:rsidP="00A22633">
      <w:pPr>
        <w:spacing w:beforeLines="120" w:before="288" w:after="0" w:line="240" w:lineRule="auto"/>
        <w:rPr>
          <w:bCs/>
          <w:color w:val="auto"/>
          <w:szCs w:val="20"/>
        </w:rPr>
      </w:pPr>
      <w:r w:rsidRPr="00297E43">
        <w:rPr>
          <w:bCs/>
          <w:color w:val="auto"/>
          <w:szCs w:val="20"/>
        </w:rPr>
        <w:t>As operações realizadas no mercado secundário (compra/venda de títulos públicos) deverão ser realizadas através de plataforma eletrônica autorizada, Sisbex da BM&amp;F e CetipNet da Cetip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14:paraId="19499DF0" w14:textId="77777777" w:rsidR="00A22633" w:rsidRPr="00297E43" w:rsidRDefault="00A22633" w:rsidP="00A22633">
      <w:pPr>
        <w:spacing w:beforeLines="120" w:before="288" w:after="0" w:line="240" w:lineRule="auto"/>
        <w:rPr>
          <w:bCs/>
          <w:color w:val="auto"/>
          <w:szCs w:val="20"/>
        </w:rPr>
      </w:pPr>
      <w:r w:rsidRPr="00297E43">
        <w:rPr>
          <w:bCs/>
          <w:color w:val="auto"/>
          <w:szCs w:val="20"/>
        </w:rPr>
        <w:t>O acompanhamento mensal do desempenho da carteira de investimentos em relação a Meta Atuarial definida, garantirá ações e medidas no curto e médio prazo no equacionamento de quaisquer distorções decorrentes dos riscos a ela atrelados.</w:t>
      </w:r>
    </w:p>
    <w:p w14:paraId="383CC785" w14:textId="77777777" w:rsidR="00A22633" w:rsidRPr="00297E43" w:rsidRDefault="00A22633" w:rsidP="00A22633">
      <w:pPr>
        <w:spacing w:beforeLines="120" w:before="288" w:after="0" w:line="240" w:lineRule="auto"/>
        <w:rPr>
          <w:bCs/>
          <w:color w:val="auto"/>
          <w:szCs w:val="20"/>
        </w:rPr>
      </w:pPr>
      <w:r w:rsidRPr="00297E43">
        <w:rPr>
          <w:bCs/>
          <w:color w:val="auto"/>
          <w:szCs w:val="20"/>
        </w:rPr>
        <w:t xml:space="preserve">Com base nas determinações da Portaria MPS nº 170, de 26 de abril de 2012, alterada pela Portaria MPS nº 440, de 09 de outubro de 2013, foi instituído o Comitê de Investimentos através do Ato Normativo </w:t>
      </w:r>
      <w:r w:rsidRPr="00297E43">
        <w:rPr>
          <w:b/>
          <w:bCs/>
          <w:color w:val="auto"/>
          <w:szCs w:val="20"/>
        </w:rPr>
        <w:t>XXXXXXXXXXXXXXXXXXXXXX</w:t>
      </w:r>
      <w:r w:rsidRPr="00297E43">
        <w:rPr>
          <w:bCs/>
          <w:color w:val="auto"/>
          <w:szCs w:val="20"/>
        </w:rPr>
        <w:t>, com a finalidade mínima de participar no processo decisório quanto à formulação e execução da Política de Investimentos.</w:t>
      </w:r>
    </w:p>
    <w:p w14:paraId="4A87217B" w14:textId="77777777" w:rsidR="00A22633" w:rsidRPr="00297E43" w:rsidRDefault="00A22633" w:rsidP="00A22633">
      <w:pPr>
        <w:spacing w:beforeLines="120" w:before="288" w:after="0" w:line="240" w:lineRule="auto"/>
        <w:rPr>
          <w:bCs/>
          <w:color w:val="auto"/>
          <w:szCs w:val="20"/>
        </w:rPr>
      </w:pPr>
      <w:r w:rsidRPr="00297E43">
        <w:rPr>
          <w:bCs/>
          <w:color w:val="auto"/>
          <w:szCs w:val="20"/>
        </w:rPr>
        <w:t>Entende-se como participação no processo decisório quanto à formulação e execução da Política de Investimentos a abrangência de:</w:t>
      </w:r>
    </w:p>
    <w:p w14:paraId="6E9E1585"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garantir o cumprimento da legislação e da Política de Investimentos;</w:t>
      </w:r>
    </w:p>
    <w:p w14:paraId="3CD27949"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avaliar a conveniência e adequação dos investimentos;</w:t>
      </w:r>
    </w:p>
    <w:p w14:paraId="6D06719B"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monitorar o grau de risco dos investimentos;</w:t>
      </w:r>
    </w:p>
    <w:p w14:paraId="65BF7A88"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observar que a rentabilidade dos recursos estejam de acordo com o nível de risco assumido pela entidade;</w:t>
      </w:r>
    </w:p>
    <w:p w14:paraId="5DD1E875"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garantir a gestão ética e transparente dos recursos;</w:t>
      </w:r>
    </w:p>
    <w:p w14:paraId="5E09A1FD"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garantir a execução dos processos internos voltados para investimentos;</w:t>
      </w:r>
    </w:p>
    <w:p w14:paraId="5BDBC600"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instaurar sindicância no âmbito dos recursos de assim houver a necessidade;</w:t>
      </w:r>
    </w:p>
    <w:p w14:paraId="66266D34"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garantir a execução, o cumprimento e acompanhamento do Credenciamento da Instituições Financeiras;</w:t>
      </w:r>
    </w:p>
    <w:p w14:paraId="793009B7" w14:textId="77777777"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garantir que alocação estratégica dos recursos estejam em consonância com os estudos técnicos que nortearam o equilíbrio atuarial e financeiro dos recursos e</w:t>
      </w:r>
    </w:p>
    <w:p w14:paraId="1FEB3600" w14:textId="42F19775" w:rsidR="00A22633" w:rsidRPr="00297E43" w:rsidRDefault="00A22633" w:rsidP="00407BEC">
      <w:pPr>
        <w:pStyle w:val="PargrafodaLista"/>
        <w:numPr>
          <w:ilvl w:val="0"/>
          <w:numId w:val="37"/>
        </w:numPr>
        <w:spacing w:beforeLines="120" w:before="288" w:after="0" w:line="240" w:lineRule="auto"/>
        <w:rPr>
          <w:bCs/>
          <w:color w:val="auto"/>
          <w:szCs w:val="20"/>
        </w:rPr>
      </w:pPr>
      <w:r w:rsidRPr="00297E43">
        <w:rPr>
          <w:bCs/>
          <w:color w:val="auto"/>
          <w:szCs w:val="20"/>
        </w:rPr>
        <w:t>qualquer outra atividade relacionada diretamente a investimentos.</w:t>
      </w:r>
    </w:p>
    <w:p w14:paraId="1D835B72" w14:textId="3F4A1EA1" w:rsidR="00A22633" w:rsidRPr="00297E43" w:rsidRDefault="00A22633" w:rsidP="00A22633">
      <w:pPr>
        <w:spacing w:beforeLines="120" w:before="288" w:after="0" w:line="240" w:lineRule="auto"/>
        <w:rPr>
          <w:bCs/>
          <w:color w:val="auto"/>
          <w:szCs w:val="20"/>
        </w:rPr>
      </w:pPr>
      <w:r w:rsidRPr="00297E43">
        <w:rPr>
          <w:bCs/>
          <w:color w:val="auto"/>
          <w:szCs w:val="20"/>
        </w:rPr>
        <w:t xml:space="preserve">Todo o acompanhamento promovido pelo Comitê de Investimentos será designado em formato de relatório, sendo disponibilizado para apreciação, análise, contestação e aprovação por parte do Conselho de Deliberação. Sua periodicidade se adequada ao porte do </w:t>
      </w:r>
      <w:r w:rsidR="00314466" w:rsidRPr="00297E43">
        <w:rPr>
          <w:b/>
          <w:bCs/>
          <w:color w:val="auto"/>
          <w:szCs w:val="20"/>
        </w:rPr>
        <w:t>INSTITUTO DE PREVIDÊNCIA DOS SERVIDORES PÚBLICOS DO MUNICÍPIO DE BOM JESUS DOS PERDÕES – PREV BOM JESUS</w:t>
      </w:r>
      <w:r w:rsidRPr="00297E43">
        <w:rPr>
          <w:bCs/>
          <w:color w:val="auto"/>
          <w:szCs w:val="20"/>
        </w:rPr>
        <w:t>.</w:t>
      </w:r>
    </w:p>
    <w:p w14:paraId="494C4596" w14:textId="77777777" w:rsidR="00A22633" w:rsidRPr="00297E43" w:rsidRDefault="00A22633" w:rsidP="00A22633">
      <w:pPr>
        <w:spacing w:beforeLines="120" w:before="288" w:after="0" w:line="240" w:lineRule="auto"/>
        <w:rPr>
          <w:bCs/>
          <w:color w:val="auto"/>
          <w:szCs w:val="20"/>
        </w:rPr>
      </w:pPr>
      <w:r w:rsidRPr="00297E43">
        <w:rPr>
          <w:bCs/>
          <w:color w:val="auto"/>
          <w:szCs w:val="20"/>
        </w:rPr>
        <w:t>Os relatórios supracitados serão mantidos e colocados à disposição da Secretária da Previdencia Social - SPREV, Tribunal de Contas do Estado, Conselho Fiscal e demais órgãos fiscalizadores e interessados.</w:t>
      </w:r>
      <w:bookmarkStart w:id="134" w:name="_Toc490036564"/>
    </w:p>
    <w:p w14:paraId="19773E3F" w14:textId="0E165C6B" w:rsidR="00B60B7D" w:rsidRPr="00297E43" w:rsidRDefault="00B60B7D" w:rsidP="00A22633">
      <w:pPr>
        <w:spacing w:beforeLines="120" w:before="288" w:after="0" w:line="240" w:lineRule="auto"/>
        <w:rPr>
          <w:bCs/>
          <w:color w:val="auto"/>
          <w:szCs w:val="20"/>
        </w:rPr>
      </w:pPr>
      <w:r w:rsidRPr="00297E43">
        <w:rPr>
          <w:bCs/>
          <w:color w:val="auto"/>
          <w:szCs w:val="20"/>
        </w:rPr>
        <w:br w:type="page"/>
      </w:r>
    </w:p>
    <w:p w14:paraId="0E9BB3E2" w14:textId="77777777" w:rsidR="006B0FB7" w:rsidRPr="00297E43" w:rsidRDefault="006B0FB7" w:rsidP="00695F71">
      <w:pPr>
        <w:pStyle w:val="Ttulo1"/>
        <w:rPr>
          <w:color w:val="auto"/>
        </w:rPr>
      </w:pPr>
      <w:bookmarkStart w:id="135" w:name="_Toc20130629"/>
      <w:r w:rsidRPr="00297E43">
        <w:rPr>
          <w:color w:val="auto"/>
        </w:rPr>
        <w:lastRenderedPageBreak/>
        <w:t>DISPOSIÇÕES GERAIS</w:t>
      </w:r>
      <w:bookmarkEnd w:id="134"/>
      <w:bookmarkEnd w:id="135"/>
    </w:p>
    <w:p w14:paraId="06509309" w14:textId="1FBAF3F7" w:rsidR="006B0FB7" w:rsidRPr="00297E43" w:rsidRDefault="006B0FB7" w:rsidP="006B0FB7">
      <w:pPr>
        <w:spacing w:beforeLines="120" w:before="288" w:after="0" w:line="240" w:lineRule="auto"/>
        <w:rPr>
          <w:bCs/>
          <w:color w:val="auto"/>
          <w:szCs w:val="20"/>
        </w:rPr>
      </w:pPr>
      <w:r w:rsidRPr="00297E43">
        <w:rPr>
          <w:bCs/>
          <w:color w:val="auto"/>
          <w:szCs w:val="20"/>
        </w:rPr>
        <w:t xml:space="preserve">A presente Política de Investimentos poderá ser revista no curso de sua execução e </w:t>
      </w:r>
      <w:r w:rsidR="00497B8F" w:rsidRPr="00297E43">
        <w:rPr>
          <w:bCs/>
          <w:color w:val="auto"/>
          <w:szCs w:val="20"/>
        </w:rPr>
        <w:t xml:space="preserve">deverá ser </w:t>
      </w:r>
      <w:r w:rsidRPr="00297E43">
        <w:rPr>
          <w:bCs/>
          <w:color w:val="auto"/>
          <w:szCs w:val="20"/>
        </w:rPr>
        <w:t xml:space="preserve">monitorada no curto prazo, a contar da data de sua aprovação pelo órgão superior competente do RPPS, sendo que o prazo de validade compreenderá o ano de </w:t>
      </w:r>
      <w:r w:rsidR="00CB3977" w:rsidRPr="00297E43">
        <w:rPr>
          <w:bCs/>
          <w:color w:val="auto"/>
          <w:szCs w:val="20"/>
        </w:rPr>
        <w:t>20</w:t>
      </w:r>
      <w:r w:rsidR="00974AD8" w:rsidRPr="00297E43">
        <w:rPr>
          <w:bCs/>
          <w:color w:val="auto"/>
          <w:szCs w:val="20"/>
        </w:rPr>
        <w:t>20</w:t>
      </w:r>
      <w:r w:rsidRPr="00297E43">
        <w:rPr>
          <w:bCs/>
          <w:color w:val="auto"/>
          <w:szCs w:val="20"/>
        </w:rPr>
        <w:t>.</w:t>
      </w:r>
    </w:p>
    <w:p w14:paraId="5C258102" w14:textId="198F4827" w:rsidR="006B0FB7" w:rsidRPr="00297E43" w:rsidRDefault="006B0FB7" w:rsidP="006B0FB7">
      <w:pPr>
        <w:spacing w:beforeLines="120" w:before="288" w:after="0" w:line="240" w:lineRule="auto"/>
        <w:rPr>
          <w:bCs/>
          <w:color w:val="auto"/>
          <w:szCs w:val="20"/>
        </w:rPr>
      </w:pPr>
      <w:r w:rsidRPr="00297E43">
        <w:rPr>
          <w:bCs/>
          <w:color w:val="auto"/>
          <w:szCs w:val="20"/>
        </w:rPr>
        <w:t xml:space="preserve">Reuniões extraordinárias junto ao </w:t>
      </w:r>
      <w:r w:rsidR="00497B8F" w:rsidRPr="00297E43">
        <w:rPr>
          <w:bCs/>
          <w:color w:val="auto"/>
          <w:szCs w:val="20"/>
        </w:rPr>
        <w:t xml:space="preserve">Comitê de Investimentos e posteriormente com </w:t>
      </w:r>
      <w:r w:rsidRPr="00297E43">
        <w:rPr>
          <w:bCs/>
          <w:color w:val="auto"/>
          <w:szCs w:val="20"/>
        </w:rPr>
        <w:t xml:space="preserve">Conselho </w:t>
      </w:r>
      <w:r w:rsidR="00497B8F" w:rsidRPr="00297E43">
        <w:rPr>
          <w:bCs/>
          <w:color w:val="auto"/>
          <w:szCs w:val="20"/>
        </w:rPr>
        <w:t xml:space="preserve">Deliberativo </w:t>
      </w:r>
      <w:r w:rsidRPr="00297E43">
        <w:rPr>
          <w:bCs/>
          <w:color w:val="auto"/>
          <w:szCs w:val="20"/>
        </w:rPr>
        <w:t>do RPPS</w:t>
      </w:r>
      <w:r w:rsidR="00497B8F" w:rsidRPr="00297E43">
        <w:rPr>
          <w:bCs/>
          <w:color w:val="auto"/>
          <w:szCs w:val="20"/>
        </w:rPr>
        <w:t>,</w:t>
      </w:r>
      <w:r w:rsidRPr="00297E43">
        <w:rPr>
          <w:bCs/>
          <w:color w:val="auto"/>
          <w:szCs w:val="20"/>
        </w:rPr>
        <w:t xml:space="preserve"> serão realizadas sempre que houver necessidade de ajustes nesta </w:t>
      </w:r>
      <w:r w:rsidR="00974AD8" w:rsidRPr="00297E43">
        <w:rPr>
          <w:bCs/>
          <w:color w:val="auto"/>
          <w:szCs w:val="20"/>
        </w:rPr>
        <w:t>P</w:t>
      </w:r>
      <w:r w:rsidRPr="00297E43">
        <w:rPr>
          <w:bCs/>
          <w:color w:val="auto"/>
          <w:szCs w:val="20"/>
        </w:rPr>
        <w:t xml:space="preserve">olítica de </w:t>
      </w:r>
      <w:r w:rsidR="00974AD8" w:rsidRPr="00297E43">
        <w:rPr>
          <w:bCs/>
          <w:color w:val="auto"/>
          <w:szCs w:val="20"/>
        </w:rPr>
        <w:t>I</w:t>
      </w:r>
      <w:r w:rsidRPr="00297E43">
        <w:rPr>
          <w:bCs/>
          <w:color w:val="auto"/>
          <w:szCs w:val="20"/>
        </w:rPr>
        <w:t>nvestimentos perante o comportamento/conjuntura do mercado, quando se apresentar o interesse da preservação dos ativos financeiros e/ou com vistas à adequação à nova legislação.</w:t>
      </w:r>
    </w:p>
    <w:p w14:paraId="2D65C711" w14:textId="28CFC0D5" w:rsidR="00F11AB6" w:rsidRPr="00297E43" w:rsidRDefault="00F11AB6" w:rsidP="00F11AB6">
      <w:pPr>
        <w:spacing w:beforeLines="120" w:before="288" w:after="0" w:line="240" w:lineRule="auto"/>
        <w:rPr>
          <w:bCs/>
          <w:color w:val="auto"/>
          <w:szCs w:val="20"/>
        </w:rPr>
      </w:pPr>
      <w:r w:rsidRPr="00297E43">
        <w:rPr>
          <w:bCs/>
          <w:color w:val="auto"/>
          <w:szCs w:val="20"/>
        </w:rPr>
        <w:t>O relatório da Política de Investimentos e suas possíveis revisões</w:t>
      </w:r>
      <w:r w:rsidR="00CB57B4" w:rsidRPr="00297E43">
        <w:rPr>
          <w:bCs/>
          <w:color w:val="auto"/>
          <w:szCs w:val="20"/>
        </w:rPr>
        <w:t>;</w:t>
      </w:r>
      <w:r w:rsidRPr="00297E43">
        <w:rPr>
          <w:bCs/>
          <w:color w:val="auto"/>
          <w:szCs w:val="20"/>
        </w:rPr>
        <w:t xml:space="preserve"> a documentação que os fundamenta, bem como as aprovações exigidas </w:t>
      </w:r>
      <w:r w:rsidR="005834DC" w:rsidRPr="00297E43">
        <w:rPr>
          <w:bCs/>
          <w:color w:val="auto"/>
          <w:szCs w:val="20"/>
        </w:rPr>
        <w:t xml:space="preserve">permanecerão </w:t>
      </w:r>
      <w:r w:rsidRPr="00297E43">
        <w:rPr>
          <w:bCs/>
          <w:color w:val="auto"/>
          <w:szCs w:val="20"/>
        </w:rPr>
        <w:t>à disposição dos órgãos de acompanhamento, supervisão e fiscalização pelo prazo de 10 (dez) anos.</w:t>
      </w:r>
    </w:p>
    <w:p w14:paraId="25D3012B" w14:textId="77777777" w:rsidR="006B0FB7" w:rsidRPr="00297E43" w:rsidRDefault="006B0FB7" w:rsidP="006B0FB7">
      <w:pPr>
        <w:spacing w:beforeLines="120" w:before="288" w:after="0" w:line="240" w:lineRule="auto"/>
        <w:rPr>
          <w:bCs/>
          <w:color w:val="auto"/>
          <w:szCs w:val="20"/>
        </w:rPr>
      </w:pPr>
      <w:r w:rsidRPr="00297E43">
        <w:rPr>
          <w:bCs/>
          <w:color w:val="auto"/>
          <w:szCs w:val="20"/>
        </w:rPr>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contido no anexo a Portaria MPAS nº 519, de 24 de agosto de 2011. </w:t>
      </w:r>
    </w:p>
    <w:p w14:paraId="2AE0A77D" w14:textId="77777777" w:rsidR="006B0FB7" w:rsidRPr="00297E43" w:rsidRDefault="006B0FB7" w:rsidP="006B0FB7">
      <w:pPr>
        <w:spacing w:beforeLines="120" w:before="288" w:after="0" w:line="240" w:lineRule="auto"/>
        <w:rPr>
          <w:bCs/>
          <w:color w:val="auto"/>
          <w:szCs w:val="20"/>
        </w:rPr>
      </w:pPr>
      <w:r w:rsidRPr="00297E43">
        <w:rPr>
          <w:bCs/>
          <w:color w:val="auto"/>
          <w:szCs w:val="20"/>
        </w:rPr>
        <w:t xml:space="preserve">A comprovação da habilitação ocorrerá mediante o preenchimento dos campos específicos constantes do Demonstrativo da Política de Investimentos - DPIN e do Demonstrativo de Aplicações e Investimentos dos Recursos - DAIR. </w:t>
      </w:r>
    </w:p>
    <w:p w14:paraId="07862A39" w14:textId="77777777" w:rsidR="006B0FB7" w:rsidRPr="00297E43" w:rsidRDefault="006B0FB7" w:rsidP="006B0FB7">
      <w:pPr>
        <w:spacing w:beforeLines="120" w:before="288" w:after="0" w:line="240" w:lineRule="auto"/>
        <w:rPr>
          <w:bCs/>
          <w:color w:val="auto"/>
          <w:szCs w:val="20"/>
        </w:rPr>
      </w:pPr>
      <w:r w:rsidRPr="00297E43">
        <w:rPr>
          <w:bCs/>
          <w:color w:val="auto"/>
          <w:szCs w:val="20"/>
        </w:rPr>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14:paraId="668EA344" w14:textId="643EB4FC" w:rsidR="006B0FB7" w:rsidRPr="00297E43" w:rsidRDefault="006B0FB7" w:rsidP="006B0FB7">
      <w:pPr>
        <w:spacing w:beforeLines="120" w:before="288" w:after="0" w:line="240" w:lineRule="auto"/>
        <w:rPr>
          <w:bCs/>
          <w:color w:val="auto"/>
          <w:szCs w:val="20"/>
        </w:rPr>
      </w:pPr>
      <w:r w:rsidRPr="00297E43">
        <w:rPr>
          <w:bCs/>
          <w:color w:val="auto"/>
          <w:szCs w:val="20"/>
        </w:rPr>
        <w:t>Casos omissos nesta Política de Investimentos remetem-se à Resolução CMN n° 3.922/2010</w:t>
      </w:r>
      <w:r w:rsidR="00E81B0B" w:rsidRPr="00297E43">
        <w:rPr>
          <w:bCs/>
          <w:color w:val="auto"/>
          <w:szCs w:val="20"/>
        </w:rPr>
        <w:t xml:space="preserve"> e suas alterações</w:t>
      </w:r>
      <w:r w:rsidRPr="00297E43">
        <w:rPr>
          <w:bCs/>
          <w:color w:val="auto"/>
          <w:szCs w:val="20"/>
        </w:rPr>
        <w:t>, e à Portaria MPS nº 519, de 24 de agosto de 2011</w:t>
      </w:r>
      <w:r w:rsidR="00497B8F" w:rsidRPr="00297E43">
        <w:rPr>
          <w:bCs/>
          <w:color w:val="auto"/>
          <w:szCs w:val="20"/>
        </w:rPr>
        <w:t xml:space="preserve"> e também alterações</w:t>
      </w:r>
      <w:r w:rsidR="005834DC" w:rsidRPr="00297E43">
        <w:rPr>
          <w:bCs/>
          <w:color w:val="auto"/>
          <w:szCs w:val="20"/>
        </w:rPr>
        <w:t xml:space="preserve"> e demais normativas pertinentes aos Regimes Próprios de Previdência Social</w:t>
      </w:r>
      <w:r w:rsidRPr="00297E43">
        <w:rPr>
          <w:bCs/>
          <w:color w:val="auto"/>
          <w:szCs w:val="20"/>
        </w:rPr>
        <w:t>.</w:t>
      </w:r>
    </w:p>
    <w:p w14:paraId="091A613E" w14:textId="396D5E58" w:rsidR="006B0FB7" w:rsidRPr="00297E43" w:rsidRDefault="006B0FB7" w:rsidP="006B0FB7">
      <w:pPr>
        <w:spacing w:beforeLines="120" w:before="288" w:after="0" w:line="240" w:lineRule="auto"/>
        <w:rPr>
          <w:bCs/>
          <w:color w:val="auto"/>
          <w:szCs w:val="20"/>
        </w:rPr>
      </w:pPr>
      <w:r w:rsidRPr="00297E43">
        <w:rPr>
          <w:bCs/>
          <w:color w:val="auto"/>
          <w:szCs w:val="20"/>
        </w:rPr>
        <w:t xml:space="preserve">É parte integrante desta Política de Investimentos, </w:t>
      </w:r>
      <w:r w:rsidR="00497B8F" w:rsidRPr="00297E43">
        <w:rPr>
          <w:bCs/>
          <w:color w:val="auto"/>
          <w:szCs w:val="20"/>
        </w:rPr>
        <w:t xml:space="preserve">a cópia da </w:t>
      </w:r>
      <w:r w:rsidR="00497B8F" w:rsidRPr="00297E43">
        <w:rPr>
          <w:b/>
          <w:bCs/>
          <w:color w:val="auto"/>
          <w:szCs w:val="20"/>
        </w:rPr>
        <w:t>Ata do Comitê de Investimentos</w:t>
      </w:r>
      <w:r w:rsidR="00497B8F" w:rsidRPr="00297E43">
        <w:rPr>
          <w:bCs/>
          <w:color w:val="auto"/>
          <w:szCs w:val="20"/>
        </w:rPr>
        <w:t xml:space="preserve"> que é participante do processo decisório quanto à sua formulação e a </w:t>
      </w:r>
      <w:r w:rsidRPr="00297E43">
        <w:rPr>
          <w:bCs/>
          <w:color w:val="auto"/>
          <w:szCs w:val="20"/>
        </w:rPr>
        <w:t xml:space="preserve">cópia da </w:t>
      </w:r>
      <w:r w:rsidRPr="00297E43">
        <w:rPr>
          <w:b/>
          <w:bCs/>
          <w:color w:val="auto"/>
          <w:szCs w:val="20"/>
        </w:rPr>
        <w:t>Ata do órgão superior</w:t>
      </w:r>
      <w:r w:rsidRPr="00297E43">
        <w:rPr>
          <w:bCs/>
          <w:color w:val="auto"/>
          <w:szCs w:val="20"/>
        </w:rPr>
        <w:t xml:space="preserve"> competente que aprova o presente instrumento, devidamente assinada por seus membros</w:t>
      </w:r>
      <w:r w:rsidR="00497B8F" w:rsidRPr="00297E43">
        <w:rPr>
          <w:bCs/>
          <w:color w:val="auto"/>
          <w:szCs w:val="20"/>
        </w:rPr>
        <w:t>.</w:t>
      </w:r>
    </w:p>
    <w:p w14:paraId="4EEB821B" w14:textId="77777777" w:rsidR="005834DC" w:rsidRPr="00297E43" w:rsidRDefault="00486C62" w:rsidP="006B0FB7">
      <w:pPr>
        <w:spacing w:beforeLines="120" w:before="288" w:after="0" w:line="240" w:lineRule="auto"/>
        <w:rPr>
          <w:bCs/>
          <w:color w:val="auto"/>
          <w:szCs w:val="20"/>
        </w:rPr>
      </w:pPr>
      <w:r w:rsidRPr="00297E43">
        <w:rPr>
          <w:bCs/>
          <w:color w:val="auto"/>
          <w:szCs w:val="20"/>
        </w:rPr>
        <w:t>E</w:t>
      </w:r>
      <w:r w:rsidR="006B0FB7" w:rsidRPr="00297E43">
        <w:rPr>
          <w:bCs/>
          <w:color w:val="auto"/>
          <w:szCs w:val="20"/>
        </w:rPr>
        <w:t>ste documento deverá ser assinado:</w:t>
      </w:r>
    </w:p>
    <w:p w14:paraId="237BE54B" w14:textId="77777777" w:rsidR="005834DC" w:rsidRPr="00297E43" w:rsidRDefault="00486C62" w:rsidP="005834DC">
      <w:pPr>
        <w:pStyle w:val="PargrafodaLista"/>
        <w:numPr>
          <w:ilvl w:val="0"/>
          <w:numId w:val="38"/>
        </w:numPr>
        <w:spacing w:beforeLines="120" w:before="288" w:after="0" w:line="240" w:lineRule="auto"/>
        <w:rPr>
          <w:bCs/>
          <w:color w:val="auto"/>
          <w:szCs w:val="20"/>
        </w:rPr>
      </w:pPr>
      <w:r w:rsidRPr="00297E43">
        <w:rPr>
          <w:bCs/>
          <w:color w:val="auto"/>
          <w:szCs w:val="20"/>
        </w:rPr>
        <w:t>p</w:t>
      </w:r>
      <w:r w:rsidR="006B0FB7" w:rsidRPr="00297E43">
        <w:rPr>
          <w:bCs/>
          <w:color w:val="auto"/>
          <w:szCs w:val="20"/>
        </w:rPr>
        <w:t>elo representante do ente federativo</w:t>
      </w:r>
      <w:r w:rsidR="005834DC" w:rsidRPr="00297E43">
        <w:rPr>
          <w:bCs/>
          <w:color w:val="auto"/>
          <w:szCs w:val="20"/>
        </w:rPr>
        <w:t>,</w:t>
      </w:r>
    </w:p>
    <w:p w14:paraId="6F830722" w14:textId="77777777" w:rsidR="005834DC" w:rsidRPr="00297E43" w:rsidRDefault="00486C62" w:rsidP="005834DC">
      <w:pPr>
        <w:pStyle w:val="PargrafodaLista"/>
        <w:numPr>
          <w:ilvl w:val="0"/>
          <w:numId w:val="38"/>
        </w:numPr>
        <w:spacing w:beforeLines="120" w:before="288" w:after="0" w:line="240" w:lineRule="auto"/>
        <w:rPr>
          <w:bCs/>
          <w:color w:val="auto"/>
          <w:szCs w:val="20"/>
        </w:rPr>
      </w:pPr>
      <w:r w:rsidRPr="00297E43">
        <w:rPr>
          <w:bCs/>
          <w:color w:val="auto"/>
          <w:szCs w:val="20"/>
        </w:rPr>
        <w:t>p</w:t>
      </w:r>
      <w:r w:rsidR="006B0FB7" w:rsidRPr="00297E43">
        <w:rPr>
          <w:bCs/>
          <w:color w:val="auto"/>
          <w:szCs w:val="20"/>
        </w:rPr>
        <w:t>elo representante da unidade gestora do RPPS</w:t>
      </w:r>
    </w:p>
    <w:p w14:paraId="60ACDCA5" w14:textId="10B59326" w:rsidR="004D7769" w:rsidRPr="00297E43" w:rsidRDefault="00486C62" w:rsidP="005834DC">
      <w:pPr>
        <w:pStyle w:val="PargrafodaLista"/>
        <w:numPr>
          <w:ilvl w:val="0"/>
          <w:numId w:val="38"/>
        </w:numPr>
        <w:spacing w:beforeLines="120" w:before="288" w:after="0" w:line="240" w:lineRule="auto"/>
        <w:rPr>
          <w:bCs/>
          <w:color w:val="auto"/>
          <w:szCs w:val="20"/>
        </w:rPr>
      </w:pPr>
      <w:r w:rsidRPr="00297E43">
        <w:rPr>
          <w:bCs/>
          <w:color w:val="auto"/>
          <w:szCs w:val="20"/>
        </w:rPr>
        <w:t>p</w:t>
      </w:r>
      <w:r w:rsidR="006B0FB7" w:rsidRPr="00297E43">
        <w:rPr>
          <w:bCs/>
          <w:color w:val="auto"/>
          <w:szCs w:val="20"/>
        </w:rPr>
        <w:t xml:space="preserve">elos responsáveis pela </w:t>
      </w:r>
      <w:r w:rsidR="006B0FB7" w:rsidRPr="00297E43">
        <w:rPr>
          <w:b/>
          <w:bCs/>
          <w:color w:val="auto"/>
          <w:szCs w:val="20"/>
          <w:u w:val="single"/>
        </w:rPr>
        <w:t>elaboração, aprovação e execução</w:t>
      </w:r>
      <w:r w:rsidR="006B0FB7" w:rsidRPr="00297E43">
        <w:rPr>
          <w:bCs/>
          <w:color w:val="auto"/>
          <w:szCs w:val="20"/>
        </w:rPr>
        <w:t xml:space="preserve"> desta Política de Investimentos</w:t>
      </w:r>
      <w:r w:rsidRPr="00297E43">
        <w:rPr>
          <w:bCs/>
          <w:color w:val="auto"/>
          <w:szCs w:val="20"/>
        </w:rPr>
        <w:t xml:space="preserve"> em atendimento ao </w:t>
      </w:r>
      <w:r w:rsidRPr="00297E43">
        <w:rPr>
          <w:rFonts w:ascii="Calibri" w:hAnsi="Calibri"/>
          <w:bCs/>
          <w:color w:val="auto"/>
          <w:szCs w:val="20"/>
        </w:rPr>
        <w:t>§</w:t>
      </w:r>
      <w:r w:rsidRPr="00297E43">
        <w:rPr>
          <w:bCs/>
          <w:color w:val="auto"/>
          <w:szCs w:val="20"/>
        </w:rPr>
        <w:t xml:space="preserve"> 4° do art. 1° da Portaria n° 519, de 24 de agosto de 2011</w:t>
      </w:r>
      <w:r w:rsidR="006B0FB7" w:rsidRPr="00297E43">
        <w:rPr>
          <w:bCs/>
          <w:color w:val="auto"/>
          <w:szCs w:val="20"/>
        </w:rPr>
        <w:t>.</w:t>
      </w:r>
    </w:p>
    <w:p w14:paraId="11C69B44" w14:textId="629995F5" w:rsidR="00687BFD" w:rsidRPr="00297E43" w:rsidRDefault="00687BFD" w:rsidP="006B0FB7">
      <w:pPr>
        <w:spacing w:beforeLines="120" w:before="288" w:after="0" w:line="240" w:lineRule="auto"/>
        <w:rPr>
          <w:color w:val="auto"/>
          <w:szCs w:val="20"/>
        </w:rPr>
      </w:pPr>
      <w:r w:rsidRPr="00297E43">
        <w:rPr>
          <w:color w:val="auto"/>
          <w:szCs w:val="20"/>
        </w:rPr>
        <w:br w:type="page"/>
      </w:r>
    </w:p>
    <w:p w14:paraId="0B3F441E" w14:textId="77777777" w:rsidR="00F17701" w:rsidRPr="00297E43" w:rsidRDefault="000F5173" w:rsidP="00695F71">
      <w:pPr>
        <w:pStyle w:val="Ttulo1"/>
        <w:numPr>
          <w:ilvl w:val="0"/>
          <w:numId w:val="0"/>
        </w:numPr>
        <w:ind w:left="432" w:hanging="432"/>
        <w:rPr>
          <w:color w:val="auto"/>
        </w:rPr>
      </w:pPr>
      <w:bookmarkStart w:id="136" w:name="_Toc20130630"/>
      <w:r w:rsidRPr="00297E43">
        <w:rPr>
          <w:color w:val="auto"/>
        </w:rPr>
        <w:lastRenderedPageBreak/>
        <w:t>DISCLAIMER</w:t>
      </w:r>
      <w:bookmarkEnd w:id="136"/>
    </w:p>
    <w:p w14:paraId="42B82D48" w14:textId="7853B410" w:rsidR="00F17701" w:rsidRPr="00297E43" w:rsidRDefault="005834DC" w:rsidP="005834DC">
      <w:pPr>
        <w:spacing w:beforeLines="120" w:before="288" w:after="0" w:line="240" w:lineRule="auto"/>
        <w:rPr>
          <w:bCs/>
          <w:color w:val="auto"/>
          <w:sz w:val="14"/>
          <w:szCs w:val="20"/>
        </w:rPr>
      </w:pPr>
      <w:r w:rsidRPr="00297E43">
        <w:rPr>
          <w:bCs/>
          <w:i/>
          <w:color w:val="auto"/>
          <w:sz w:val="14"/>
          <w:szCs w:val="20"/>
        </w:rPr>
        <w:t>Este documento (caracterizado como relatório, parecer ou análise)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em fontes públicas e que julgamos confiáveis. A utilização destas informações em suas tomadas de decisão e consequentes perdas e ganhos não nos torna responsáveis diretos. As informações aqui contidas não representam garantia de exatidão das informações prestadas ou julgamento sobre a qualidade das mesmas, e não devem ser consideradas como tais. As informações deste documento estão em consonância com as informações sobre os produtos mencionados, entretanto não substituem seus materiais oficiais, como regulamentos e prospectos de divulgação. É recomendada a leitura cuidadosa destes materiais, com especial atenção para as cláusulas relativas ao objetivo, ao risco e à política de investimento dos produtos. Todas as informações podem ser obtidas com o responsável pela distribuição ou no site da CVM (Comissão de Valores Mobiliários). Sua elaboração buscou atender os objetivos de investimentos do cliente, considerando a sua situação financeira e seu perfil. A rentabilidade obtida no passado não representa garantia de rentabilidade futura e os produtos estruturados e/ou de longo prazo possuem, além da volatilidade, riscos associados à sua carteira de crédito e estruturação. Os riscos inerentes aos diversos tipos de operações com valores mobiliários de bolsa, balcão, nos mercados de liquidação futura e de derivativos, podem resultar em perdas aos investimentos realizados, bem como o inverso proporcionalmente. Todos e qualquer valor exibido está representado em Real (BRL) e para os cálculos, foram utilizadas observações diárias, sendo sua fonte o Sistema Quantum Axis e a CVM. A contratação de empresa de consultoria de valores mobiliários para a emissão deste documento não assegura ou sugere a existência de garantia de resultados futuros ou a isenção de risco. Os RPPS devem estar adequados às normativas pertinentes e principalmente a Portaria nº 519, de 24 de agosto de 2011 e suas alterações, além da Resolução CMN nº 3.922 de 25 de novembro de 2010 e suas alterações, que dispõem sobre as aplicações dos recursos financeiros dos Regimes Próprios de Previdência Social, instituídos pela União, Estados, Distrito Federal e Municípios e dá outras providências.</w:t>
      </w:r>
    </w:p>
    <w:sectPr w:rsidR="00F17701" w:rsidRPr="00297E43" w:rsidSect="00314466">
      <w:headerReference w:type="default" r:id="rId10"/>
      <w:footerReference w:type="default" r:id="rId11"/>
      <w:pgSz w:w="11906" w:h="16838"/>
      <w:pgMar w:top="1450"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8CCA" w14:textId="77777777" w:rsidR="00297E43" w:rsidRDefault="00297E43" w:rsidP="00D87426">
      <w:pPr>
        <w:spacing w:after="0" w:line="240" w:lineRule="auto"/>
      </w:pPr>
      <w:r>
        <w:separator/>
      </w:r>
    </w:p>
  </w:endnote>
  <w:endnote w:type="continuationSeparator" w:id="0">
    <w:p w14:paraId="68AD598C" w14:textId="77777777" w:rsidR="00297E43" w:rsidRDefault="00297E43" w:rsidP="00D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6313" w14:textId="78EDEA51" w:rsidR="00297E43" w:rsidRDefault="00297E43">
    <w:pPr>
      <w:pStyle w:val="Rodap"/>
      <w:jc w:val="right"/>
    </w:pPr>
    <w:r>
      <w:t xml:space="preserve">p. </w:t>
    </w:r>
    <w:sdt>
      <w:sdtPr>
        <w:id w:val="-28193300"/>
        <w:docPartObj>
          <w:docPartGallery w:val="Page Numbers (Bottom of Page)"/>
          <w:docPartUnique/>
        </w:docPartObj>
      </w:sdtPr>
      <w:sdtEndPr/>
      <w:sdtContent>
        <w:r>
          <w:fldChar w:fldCharType="begin"/>
        </w:r>
        <w:r>
          <w:instrText>PAGE   \* MERGEFORMAT</w:instrText>
        </w:r>
        <w:r>
          <w:fldChar w:fldCharType="separate"/>
        </w:r>
        <w:r w:rsidR="00A46B7A">
          <w:rPr>
            <w:noProof/>
          </w:rPr>
          <w:t>3</w:t>
        </w:r>
        <w:r>
          <w:fldChar w:fldCharType="end"/>
        </w:r>
      </w:sdtContent>
    </w:sdt>
  </w:p>
  <w:p w14:paraId="40F1C5FD" w14:textId="77777777" w:rsidR="00297E43" w:rsidRDefault="00297E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D96C" w14:textId="77777777" w:rsidR="00297E43" w:rsidRDefault="00297E43" w:rsidP="00D87426">
      <w:pPr>
        <w:spacing w:after="0" w:line="240" w:lineRule="auto"/>
      </w:pPr>
      <w:r>
        <w:separator/>
      </w:r>
    </w:p>
  </w:footnote>
  <w:footnote w:type="continuationSeparator" w:id="0">
    <w:p w14:paraId="74662C6F" w14:textId="77777777" w:rsidR="00297E43" w:rsidRDefault="00297E43" w:rsidP="00D8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95C6" w14:textId="62DB94C4" w:rsidR="00297E43" w:rsidRPr="00314466" w:rsidRDefault="00297E43" w:rsidP="00314466">
    <w:pPr>
      <w:jc w:val="center"/>
      <w:rPr>
        <w:rFonts w:ascii="Times New Roman" w:eastAsia="Times New Roman" w:hAnsi="Times New Roman" w:cs="Times New Roman"/>
        <w:color w:val="44546A" w:themeColor="text2"/>
        <w:sz w:val="24"/>
        <w:szCs w:val="24"/>
        <w:lang w:eastAsia="pt-BR"/>
      </w:rPr>
    </w:pPr>
    <w:r w:rsidRPr="00314466">
      <w:rPr>
        <w:rFonts w:ascii="Times New Roman" w:eastAsia="Times New Roman" w:hAnsi="Times New Roman" w:cs="Times New Roman"/>
        <w:noProof/>
        <w:color w:val="44546A" w:themeColor="text2"/>
        <w:sz w:val="24"/>
        <w:szCs w:val="24"/>
        <w:lang w:eastAsia="pt-BR"/>
      </w:rPr>
      <w:drawing>
        <wp:anchor distT="0" distB="0" distL="114300" distR="114300" simplePos="0" relativeHeight="251658240" behindDoc="0" locked="0" layoutInCell="1" allowOverlap="1" wp14:anchorId="4E3A2DB0" wp14:editId="6C4D9536">
          <wp:simplePos x="0" y="0"/>
          <wp:positionH relativeFrom="column">
            <wp:posOffset>5123895</wp:posOffset>
          </wp:positionH>
          <wp:positionV relativeFrom="paragraph">
            <wp:posOffset>1833</wp:posOffset>
          </wp:positionV>
          <wp:extent cx="624438" cy="6244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897" cy="6358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466">
      <w:rPr>
        <w:color w:val="44546A" w:themeColor="text2"/>
      </w:rPr>
      <w:t xml:space="preserve">POLÍTICA DE INVESTIMENTO 2020 – PREV BOM JESUS </w:t>
    </w:r>
    <w:r w:rsidRPr="00314466">
      <w:rPr>
        <w:rFonts w:ascii="Times New Roman" w:eastAsia="Times New Roman" w:hAnsi="Times New Roman" w:cs="Times New Roman"/>
        <w:color w:val="44546A" w:themeColor="text2"/>
        <w:sz w:val="24"/>
        <w:szCs w:val="24"/>
        <w:lang w:eastAsia="pt-BR"/>
      </w:rPr>
      <w:fldChar w:fldCharType="begin"/>
    </w:r>
    <w:r w:rsidRPr="00314466">
      <w:rPr>
        <w:rFonts w:ascii="Times New Roman" w:eastAsia="Times New Roman" w:hAnsi="Times New Roman" w:cs="Times New Roman"/>
        <w:color w:val="44546A" w:themeColor="text2"/>
        <w:sz w:val="24"/>
        <w:szCs w:val="24"/>
        <w:lang w:eastAsia="pt-BR"/>
      </w:rPr>
      <w:instrText xml:space="preserve"> INCLUDEPICTURE "https://www.prevbomjesus.com.br/themes/wc_RPPS/img/logo-90x90.png" \* MERGEFORMATINET </w:instrText>
    </w:r>
    <w:r w:rsidRPr="00314466">
      <w:rPr>
        <w:rFonts w:ascii="Times New Roman" w:eastAsia="Times New Roman" w:hAnsi="Times New Roman" w:cs="Times New Roman"/>
        <w:color w:val="44546A" w:themeColor="text2"/>
        <w:sz w:val="24"/>
        <w:szCs w:val="24"/>
        <w:lang w:eastAsia="pt-BR"/>
      </w:rPr>
      <w:fldChar w:fldCharType="end"/>
    </w:r>
  </w:p>
  <w:p w14:paraId="254D6260" w14:textId="50BB2B5D" w:rsidR="00297E43" w:rsidRDefault="00297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345D74"/>
    <w:multiLevelType w:val="hybridMultilevel"/>
    <w:tmpl w:val="FA9833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926BE2"/>
    <w:multiLevelType w:val="hybridMultilevel"/>
    <w:tmpl w:val="FFF02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031D12"/>
    <w:multiLevelType w:val="hybridMultilevel"/>
    <w:tmpl w:val="02386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BB6D37"/>
    <w:multiLevelType w:val="multilevel"/>
    <w:tmpl w:val="4D20367C"/>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CF6C13"/>
    <w:multiLevelType w:val="hybridMultilevel"/>
    <w:tmpl w:val="D6982488"/>
    <w:lvl w:ilvl="0" w:tplc="D5C20464">
      <w:start w:val="1"/>
      <w:numFmt w:val="bullet"/>
      <w:lvlText w:val="•"/>
      <w:lvlJc w:val="left"/>
      <w:pPr>
        <w:tabs>
          <w:tab w:val="num" w:pos="720"/>
        </w:tabs>
        <w:ind w:left="720" w:hanging="360"/>
      </w:pPr>
      <w:rPr>
        <w:rFonts w:ascii="Arial" w:hAnsi="Arial" w:hint="default"/>
      </w:rPr>
    </w:lvl>
    <w:lvl w:ilvl="1" w:tplc="C422FD3E" w:tentative="1">
      <w:start w:val="1"/>
      <w:numFmt w:val="bullet"/>
      <w:lvlText w:val="•"/>
      <w:lvlJc w:val="left"/>
      <w:pPr>
        <w:tabs>
          <w:tab w:val="num" w:pos="1440"/>
        </w:tabs>
        <w:ind w:left="1440" w:hanging="360"/>
      </w:pPr>
      <w:rPr>
        <w:rFonts w:ascii="Arial" w:hAnsi="Arial" w:hint="default"/>
      </w:rPr>
    </w:lvl>
    <w:lvl w:ilvl="2" w:tplc="BF4437B8" w:tentative="1">
      <w:start w:val="1"/>
      <w:numFmt w:val="bullet"/>
      <w:lvlText w:val="•"/>
      <w:lvlJc w:val="left"/>
      <w:pPr>
        <w:tabs>
          <w:tab w:val="num" w:pos="2160"/>
        </w:tabs>
        <w:ind w:left="2160" w:hanging="360"/>
      </w:pPr>
      <w:rPr>
        <w:rFonts w:ascii="Arial" w:hAnsi="Arial" w:hint="default"/>
      </w:rPr>
    </w:lvl>
    <w:lvl w:ilvl="3" w:tplc="F6280244" w:tentative="1">
      <w:start w:val="1"/>
      <w:numFmt w:val="bullet"/>
      <w:lvlText w:val="•"/>
      <w:lvlJc w:val="left"/>
      <w:pPr>
        <w:tabs>
          <w:tab w:val="num" w:pos="2880"/>
        </w:tabs>
        <w:ind w:left="2880" w:hanging="360"/>
      </w:pPr>
      <w:rPr>
        <w:rFonts w:ascii="Arial" w:hAnsi="Arial" w:hint="default"/>
      </w:rPr>
    </w:lvl>
    <w:lvl w:ilvl="4" w:tplc="5AB2F98A" w:tentative="1">
      <w:start w:val="1"/>
      <w:numFmt w:val="bullet"/>
      <w:lvlText w:val="•"/>
      <w:lvlJc w:val="left"/>
      <w:pPr>
        <w:tabs>
          <w:tab w:val="num" w:pos="3600"/>
        </w:tabs>
        <w:ind w:left="3600" w:hanging="360"/>
      </w:pPr>
      <w:rPr>
        <w:rFonts w:ascii="Arial" w:hAnsi="Arial" w:hint="default"/>
      </w:rPr>
    </w:lvl>
    <w:lvl w:ilvl="5" w:tplc="F06623A8" w:tentative="1">
      <w:start w:val="1"/>
      <w:numFmt w:val="bullet"/>
      <w:lvlText w:val="•"/>
      <w:lvlJc w:val="left"/>
      <w:pPr>
        <w:tabs>
          <w:tab w:val="num" w:pos="4320"/>
        </w:tabs>
        <w:ind w:left="4320" w:hanging="360"/>
      </w:pPr>
      <w:rPr>
        <w:rFonts w:ascii="Arial" w:hAnsi="Arial" w:hint="default"/>
      </w:rPr>
    </w:lvl>
    <w:lvl w:ilvl="6" w:tplc="6882B74C" w:tentative="1">
      <w:start w:val="1"/>
      <w:numFmt w:val="bullet"/>
      <w:lvlText w:val="•"/>
      <w:lvlJc w:val="left"/>
      <w:pPr>
        <w:tabs>
          <w:tab w:val="num" w:pos="5040"/>
        </w:tabs>
        <w:ind w:left="5040" w:hanging="360"/>
      </w:pPr>
      <w:rPr>
        <w:rFonts w:ascii="Arial" w:hAnsi="Arial" w:hint="default"/>
      </w:rPr>
    </w:lvl>
    <w:lvl w:ilvl="7" w:tplc="8A5EE106" w:tentative="1">
      <w:start w:val="1"/>
      <w:numFmt w:val="bullet"/>
      <w:lvlText w:val="•"/>
      <w:lvlJc w:val="left"/>
      <w:pPr>
        <w:tabs>
          <w:tab w:val="num" w:pos="5760"/>
        </w:tabs>
        <w:ind w:left="5760" w:hanging="360"/>
      </w:pPr>
      <w:rPr>
        <w:rFonts w:ascii="Arial" w:hAnsi="Arial" w:hint="default"/>
      </w:rPr>
    </w:lvl>
    <w:lvl w:ilvl="8" w:tplc="62B653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AC4C1D"/>
    <w:multiLevelType w:val="hybridMultilevel"/>
    <w:tmpl w:val="4D0A1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A62414"/>
    <w:multiLevelType w:val="hybridMultilevel"/>
    <w:tmpl w:val="88361032"/>
    <w:lvl w:ilvl="0" w:tplc="8BFCC08E">
      <w:start w:val="1"/>
      <w:numFmt w:val="bullet"/>
      <w:lvlText w:val="•"/>
      <w:lvlJc w:val="left"/>
      <w:pPr>
        <w:tabs>
          <w:tab w:val="num" w:pos="360"/>
        </w:tabs>
        <w:ind w:left="360" w:hanging="360"/>
      </w:pPr>
      <w:rPr>
        <w:rFonts w:ascii="Arial" w:hAnsi="Arial" w:hint="default"/>
      </w:rPr>
    </w:lvl>
    <w:lvl w:ilvl="1" w:tplc="B76C1EBE">
      <w:start w:val="36"/>
      <w:numFmt w:val="bullet"/>
      <w:lvlText w:val=""/>
      <w:lvlJc w:val="left"/>
      <w:pPr>
        <w:tabs>
          <w:tab w:val="num" w:pos="1080"/>
        </w:tabs>
        <w:ind w:left="1080" w:hanging="360"/>
      </w:pPr>
      <w:rPr>
        <w:rFonts w:ascii="Wingdings" w:hAnsi="Wingdings" w:hint="default"/>
      </w:rPr>
    </w:lvl>
    <w:lvl w:ilvl="2" w:tplc="B1E2D19C" w:tentative="1">
      <w:start w:val="1"/>
      <w:numFmt w:val="bullet"/>
      <w:lvlText w:val="•"/>
      <w:lvlJc w:val="left"/>
      <w:pPr>
        <w:tabs>
          <w:tab w:val="num" w:pos="1800"/>
        </w:tabs>
        <w:ind w:left="1800" w:hanging="360"/>
      </w:pPr>
      <w:rPr>
        <w:rFonts w:ascii="Arial" w:hAnsi="Arial" w:hint="default"/>
      </w:rPr>
    </w:lvl>
    <w:lvl w:ilvl="3" w:tplc="D5E2F366" w:tentative="1">
      <w:start w:val="1"/>
      <w:numFmt w:val="bullet"/>
      <w:lvlText w:val="•"/>
      <w:lvlJc w:val="left"/>
      <w:pPr>
        <w:tabs>
          <w:tab w:val="num" w:pos="2520"/>
        </w:tabs>
        <w:ind w:left="2520" w:hanging="360"/>
      </w:pPr>
      <w:rPr>
        <w:rFonts w:ascii="Arial" w:hAnsi="Arial" w:hint="default"/>
      </w:rPr>
    </w:lvl>
    <w:lvl w:ilvl="4" w:tplc="47AAC38A" w:tentative="1">
      <w:start w:val="1"/>
      <w:numFmt w:val="bullet"/>
      <w:lvlText w:val="•"/>
      <w:lvlJc w:val="left"/>
      <w:pPr>
        <w:tabs>
          <w:tab w:val="num" w:pos="3240"/>
        </w:tabs>
        <w:ind w:left="3240" w:hanging="360"/>
      </w:pPr>
      <w:rPr>
        <w:rFonts w:ascii="Arial" w:hAnsi="Arial" w:hint="default"/>
      </w:rPr>
    </w:lvl>
    <w:lvl w:ilvl="5" w:tplc="0092336C" w:tentative="1">
      <w:start w:val="1"/>
      <w:numFmt w:val="bullet"/>
      <w:lvlText w:val="•"/>
      <w:lvlJc w:val="left"/>
      <w:pPr>
        <w:tabs>
          <w:tab w:val="num" w:pos="3960"/>
        </w:tabs>
        <w:ind w:left="3960" w:hanging="360"/>
      </w:pPr>
      <w:rPr>
        <w:rFonts w:ascii="Arial" w:hAnsi="Arial" w:hint="default"/>
      </w:rPr>
    </w:lvl>
    <w:lvl w:ilvl="6" w:tplc="1DAEF0FA" w:tentative="1">
      <w:start w:val="1"/>
      <w:numFmt w:val="bullet"/>
      <w:lvlText w:val="•"/>
      <w:lvlJc w:val="left"/>
      <w:pPr>
        <w:tabs>
          <w:tab w:val="num" w:pos="4680"/>
        </w:tabs>
        <w:ind w:left="4680" w:hanging="360"/>
      </w:pPr>
      <w:rPr>
        <w:rFonts w:ascii="Arial" w:hAnsi="Arial" w:hint="default"/>
      </w:rPr>
    </w:lvl>
    <w:lvl w:ilvl="7" w:tplc="3A5678E8" w:tentative="1">
      <w:start w:val="1"/>
      <w:numFmt w:val="bullet"/>
      <w:lvlText w:val="•"/>
      <w:lvlJc w:val="left"/>
      <w:pPr>
        <w:tabs>
          <w:tab w:val="num" w:pos="5400"/>
        </w:tabs>
        <w:ind w:left="5400" w:hanging="360"/>
      </w:pPr>
      <w:rPr>
        <w:rFonts w:ascii="Arial" w:hAnsi="Arial" w:hint="default"/>
      </w:rPr>
    </w:lvl>
    <w:lvl w:ilvl="8" w:tplc="C608CB9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AFB4C42"/>
    <w:multiLevelType w:val="hybridMultilevel"/>
    <w:tmpl w:val="71EE4B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C06A4"/>
    <w:multiLevelType w:val="hybridMultilevel"/>
    <w:tmpl w:val="F7CCF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F29E0"/>
    <w:multiLevelType w:val="hybridMultilevel"/>
    <w:tmpl w:val="5E1EFD1C"/>
    <w:lvl w:ilvl="0" w:tplc="BAE0D1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380584"/>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307D5DCE"/>
    <w:multiLevelType w:val="hybridMultilevel"/>
    <w:tmpl w:val="BE9A8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02893"/>
    <w:multiLevelType w:val="multilevel"/>
    <w:tmpl w:val="9C1C5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172B54"/>
    <w:multiLevelType w:val="hybridMultilevel"/>
    <w:tmpl w:val="DA489F4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0CF744A"/>
    <w:multiLevelType w:val="hybridMultilevel"/>
    <w:tmpl w:val="170C8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DC79C9"/>
    <w:multiLevelType w:val="hybridMultilevel"/>
    <w:tmpl w:val="C212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FA77FE"/>
    <w:multiLevelType w:val="hybridMultilevel"/>
    <w:tmpl w:val="4F48D63E"/>
    <w:lvl w:ilvl="0" w:tplc="9B5456B8">
      <w:start w:val="1"/>
      <w:numFmt w:val="bullet"/>
      <w:lvlText w:val="•"/>
      <w:lvlJc w:val="left"/>
      <w:pPr>
        <w:tabs>
          <w:tab w:val="num" w:pos="720"/>
        </w:tabs>
        <w:ind w:left="720" w:hanging="360"/>
      </w:pPr>
      <w:rPr>
        <w:rFonts w:ascii="Arial" w:hAnsi="Arial" w:hint="default"/>
      </w:rPr>
    </w:lvl>
    <w:lvl w:ilvl="1" w:tplc="2D242222" w:tentative="1">
      <w:start w:val="1"/>
      <w:numFmt w:val="bullet"/>
      <w:lvlText w:val="•"/>
      <w:lvlJc w:val="left"/>
      <w:pPr>
        <w:tabs>
          <w:tab w:val="num" w:pos="1440"/>
        </w:tabs>
        <w:ind w:left="1440" w:hanging="360"/>
      </w:pPr>
      <w:rPr>
        <w:rFonts w:ascii="Arial" w:hAnsi="Arial" w:hint="default"/>
      </w:rPr>
    </w:lvl>
    <w:lvl w:ilvl="2" w:tplc="E6D06EAA" w:tentative="1">
      <w:start w:val="1"/>
      <w:numFmt w:val="bullet"/>
      <w:lvlText w:val="•"/>
      <w:lvlJc w:val="left"/>
      <w:pPr>
        <w:tabs>
          <w:tab w:val="num" w:pos="2160"/>
        </w:tabs>
        <w:ind w:left="2160" w:hanging="360"/>
      </w:pPr>
      <w:rPr>
        <w:rFonts w:ascii="Arial" w:hAnsi="Arial" w:hint="default"/>
      </w:rPr>
    </w:lvl>
    <w:lvl w:ilvl="3" w:tplc="04B4B2CE" w:tentative="1">
      <w:start w:val="1"/>
      <w:numFmt w:val="bullet"/>
      <w:lvlText w:val="•"/>
      <w:lvlJc w:val="left"/>
      <w:pPr>
        <w:tabs>
          <w:tab w:val="num" w:pos="2880"/>
        </w:tabs>
        <w:ind w:left="2880" w:hanging="360"/>
      </w:pPr>
      <w:rPr>
        <w:rFonts w:ascii="Arial" w:hAnsi="Arial" w:hint="default"/>
      </w:rPr>
    </w:lvl>
    <w:lvl w:ilvl="4" w:tplc="4038F780" w:tentative="1">
      <w:start w:val="1"/>
      <w:numFmt w:val="bullet"/>
      <w:lvlText w:val="•"/>
      <w:lvlJc w:val="left"/>
      <w:pPr>
        <w:tabs>
          <w:tab w:val="num" w:pos="3600"/>
        </w:tabs>
        <w:ind w:left="3600" w:hanging="360"/>
      </w:pPr>
      <w:rPr>
        <w:rFonts w:ascii="Arial" w:hAnsi="Arial" w:hint="default"/>
      </w:rPr>
    </w:lvl>
    <w:lvl w:ilvl="5" w:tplc="6E82E964" w:tentative="1">
      <w:start w:val="1"/>
      <w:numFmt w:val="bullet"/>
      <w:lvlText w:val="•"/>
      <w:lvlJc w:val="left"/>
      <w:pPr>
        <w:tabs>
          <w:tab w:val="num" w:pos="4320"/>
        </w:tabs>
        <w:ind w:left="4320" w:hanging="360"/>
      </w:pPr>
      <w:rPr>
        <w:rFonts w:ascii="Arial" w:hAnsi="Arial" w:hint="default"/>
      </w:rPr>
    </w:lvl>
    <w:lvl w:ilvl="6" w:tplc="33746DFA" w:tentative="1">
      <w:start w:val="1"/>
      <w:numFmt w:val="bullet"/>
      <w:lvlText w:val="•"/>
      <w:lvlJc w:val="left"/>
      <w:pPr>
        <w:tabs>
          <w:tab w:val="num" w:pos="5040"/>
        </w:tabs>
        <w:ind w:left="5040" w:hanging="360"/>
      </w:pPr>
      <w:rPr>
        <w:rFonts w:ascii="Arial" w:hAnsi="Arial" w:hint="default"/>
      </w:rPr>
    </w:lvl>
    <w:lvl w:ilvl="7" w:tplc="69DA642C" w:tentative="1">
      <w:start w:val="1"/>
      <w:numFmt w:val="bullet"/>
      <w:lvlText w:val="•"/>
      <w:lvlJc w:val="left"/>
      <w:pPr>
        <w:tabs>
          <w:tab w:val="num" w:pos="5760"/>
        </w:tabs>
        <w:ind w:left="5760" w:hanging="360"/>
      </w:pPr>
      <w:rPr>
        <w:rFonts w:ascii="Arial" w:hAnsi="Arial" w:hint="default"/>
      </w:rPr>
    </w:lvl>
    <w:lvl w:ilvl="8" w:tplc="83CA40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851C0"/>
    <w:multiLevelType w:val="hybridMultilevel"/>
    <w:tmpl w:val="11600A6E"/>
    <w:lvl w:ilvl="0" w:tplc="04160017">
      <w:start w:val="1"/>
      <w:numFmt w:val="lowerLetter"/>
      <w:lvlText w:val="%1)"/>
      <w:lvlJc w:val="left"/>
      <w:pPr>
        <w:ind w:left="764" w:hanging="360"/>
      </w:pPr>
    </w:lvl>
    <w:lvl w:ilvl="1" w:tplc="04160019" w:tentative="1">
      <w:start w:val="1"/>
      <w:numFmt w:val="lowerLetter"/>
      <w:lvlText w:val="%2."/>
      <w:lvlJc w:val="left"/>
      <w:pPr>
        <w:ind w:left="1484" w:hanging="360"/>
      </w:pPr>
    </w:lvl>
    <w:lvl w:ilvl="2" w:tplc="0416001B" w:tentative="1">
      <w:start w:val="1"/>
      <w:numFmt w:val="lowerRoman"/>
      <w:lvlText w:val="%3."/>
      <w:lvlJc w:val="right"/>
      <w:pPr>
        <w:ind w:left="2204" w:hanging="180"/>
      </w:pPr>
    </w:lvl>
    <w:lvl w:ilvl="3" w:tplc="0416000F" w:tentative="1">
      <w:start w:val="1"/>
      <w:numFmt w:val="decimal"/>
      <w:lvlText w:val="%4."/>
      <w:lvlJc w:val="left"/>
      <w:pPr>
        <w:ind w:left="2924" w:hanging="360"/>
      </w:pPr>
    </w:lvl>
    <w:lvl w:ilvl="4" w:tplc="04160019" w:tentative="1">
      <w:start w:val="1"/>
      <w:numFmt w:val="lowerLetter"/>
      <w:lvlText w:val="%5."/>
      <w:lvlJc w:val="left"/>
      <w:pPr>
        <w:ind w:left="3644" w:hanging="360"/>
      </w:pPr>
    </w:lvl>
    <w:lvl w:ilvl="5" w:tplc="0416001B" w:tentative="1">
      <w:start w:val="1"/>
      <w:numFmt w:val="lowerRoman"/>
      <w:lvlText w:val="%6."/>
      <w:lvlJc w:val="right"/>
      <w:pPr>
        <w:ind w:left="4364" w:hanging="180"/>
      </w:pPr>
    </w:lvl>
    <w:lvl w:ilvl="6" w:tplc="0416000F" w:tentative="1">
      <w:start w:val="1"/>
      <w:numFmt w:val="decimal"/>
      <w:lvlText w:val="%7."/>
      <w:lvlJc w:val="left"/>
      <w:pPr>
        <w:ind w:left="5084" w:hanging="360"/>
      </w:pPr>
    </w:lvl>
    <w:lvl w:ilvl="7" w:tplc="04160019" w:tentative="1">
      <w:start w:val="1"/>
      <w:numFmt w:val="lowerLetter"/>
      <w:lvlText w:val="%8."/>
      <w:lvlJc w:val="left"/>
      <w:pPr>
        <w:ind w:left="5804" w:hanging="360"/>
      </w:pPr>
    </w:lvl>
    <w:lvl w:ilvl="8" w:tplc="0416001B" w:tentative="1">
      <w:start w:val="1"/>
      <w:numFmt w:val="lowerRoman"/>
      <w:lvlText w:val="%9."/>
      <w:lvlJc w:val="right"/>
      <w:pPr>
        <w:ind w:left="6524" w:hanging="180"/>
      </w:pPr>
    </w:lvl>
  </w:abstractNum>
  <w:abstractNum w:abstractNumId="19" w15:restartNumberingAfterBreak="0">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0" w15:restartNumberingAfterBreak="0">
    <w:nsid w:val="4FAE0185"/>
    <w:multiLevelType w:val="hybridMultilevel"/>
    <w:tmpl w:val="11066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B97CCC"/>
    <w:multiLevelType w:val="hybridMultilevel"/>
    <w:tmpl w:val="CFDA6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3151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15612F"/>
    <w:multiLevelType w:val="hybridMultilevel"/>
    <w:tmpl w:val="226268B2"/>
    <w:lvl w:ilvl="0" w:tplc="033690E2">
      <w:start w:val="1"/>
      <w:numFmt w:val="bullet"/>
      <w:lvlText w:val="•"/>
      <w:lvlJc w:val="left"/>
      <w:pPr>
        <w:tabs>
          <w:tab w:val="num" w:pos="720"/>
        </w:tabs>
        <w:ind w:left="720" w:hanging="360"/>
      </w:pPr>
      <w:rPr>
        <w:rFonts w:ascii="Arial" w:hAnsi="Arial" w:hint="default"/>
      </w:rPr>
    </w:lvl>
    <w:lvl w:ilvl="1" w:tplc="D760FE6A" w:tentative="1">
      <w:start w:val="1"/>
      <w:numFmt w:val="bullet"/>
      <w:lvlText w:val="•"/>
      <w:lvlJc w:val="left"/>
      <w:pPr>
        <w:tabs>
          <w:tab w:val="num" w:pos="1440"/>
        </w:tabs>
        <w:ind w:left="1440" w:hanging="360"/>
      </w:pPr>
      <w:rPr>
        <w:rFonts w:ascii="Arial" w:hAnsi="Arial" w:hint="default"/>
      </w:rPr>
    </w:lvl>
    <w:lvl w:ilvl="2" w:tplc="F6E43442">
      <w:start w:val="1"/>
      <w:numFmt w:val="bullet"/>
      <w:lvlText w:val="•"/>
      <w:lvlJc w:val="left"/>
      <w:pPr>
        <w:tabs>
          <w:tab w:val="num" w:pos="2160"/>
        </w:tabs>
        <w:ind w:left="2160" w:hanging="360"/>
      </w:pPr>
      <w:rPr>
        <w:rFonts w:ascii="Arial" w:hAnsi="Arial" w:hint="default"/>
      </w:rPr>
    </w:lvl>
    <w:lvl w:ilvl="3" w:tplc="1AB29F4E" w:tentative="1">
      <w:start w:val="1"/>
      <w:numFmt w:val="bullet"/>
      <w:lvlText w:val="•"/>
      <w:lvlJc w:val="left"/>
      <w:pPr>
        <w:tabs>
          <w:tab w:val="num" w:pos="2880"/>
        </w:tabs>
        <w:ind w:left="2880" w:hanging="360"/>
      </w:pPr>
      <w:rPr>
        <w:rFonts w:ascii="Arial" w:hAnsi="Arial" w:hint="default"/>
      </w:rPr>
    </w:lvl>
    <w:lvl w:ilvl="4" w:tplc="FEFC936C" w:tentative="1">
      <w:start w:val="1"/>
      <w:numFmt w:val="bullet"/>
      <w:lvlText w:val="•"/>
      <w:lvlJc w:val="left"/>
      <w:pPr>
        <w:tabs>
          <w:tab w:val="num" w:pos="3600"/>
        </w:tabs>
        <w:ind w:left="3600" w:hanging="360"/>
      </w:pPr>
      <w:rPr>
        <w:rFonts w:ascii="Arial" w:hAnsi="Arial" w:hint="default"/>
      </w:rPr>
    </w:lvl>
    <w:lvl w:ilvl="5" w:tplc="32565DDA" w:tentative="1">
      <w:start w:val="1"/>
      <w:numFmt w:val="bullet"/>
      <w:lvlText w:val="•"/>
      <w:lvlJc w:val="left"/>
      <w:pPr>
        <w:tabs>
          <w:tab w:val="num" w:pos="4320"/>
        </w:tabs>
        <w:ind w:left="4320" w:hanging="360"/>
      </w:pPr>
      <w:rPr>
        <w:rFonts w:ascii="Arial" w:hAnsi="Arial" w:hint="default"/>
      </w:rPr>
    </w:lvl>
    <w:lvl w:ilvl="6" w:tplc="CAA4885C" w:tentative="1">
      <w:start w:val="1"/>
      <w:numFmt w:val="bullet"/>
      <w:lvlText w:val="•"/>
      <w:lvlJc w:val="left"/>
      <w:pPr>
        <w:tabs>
          <w:tab w:val="num" w:pos="5040"/>
        </w:tabs>
        <w:ind w:left="5040" w:hanging="360"/>
      </w:pPr>
      <w:rPr>
        <w:rFonts w:ascii="Arial" w:hAnsi="Arial" w:hint="default"/>
      </w:rPr>
    </w:lvl>
    <w:lvl w:ilvl="7" w:tplc="99F27832" w:tentative="1">
      <w:start w:val="1"/>
      <w:numFmt w:val="bullet"/>
      <w:lvlText w:val="•"/>
      <w:lvlJc w:val="left"/>
      <w:pPr>
        <w:tabs>
          <w:tab w:val="num" w:pos="5760"/>
        </w:tabs>
        <w:ind w:left="5760" w:hanging="360"/>
      </w:pPr>
      <w:rPr>
        <w:rFonts w:ascii="Arial" w:hAnsi="Arial" w:hint="default"/>
      </w:rPr>
    </w:lvl>
    <w:lvl w:ilvl="8" w:tplc="A63E4C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DB07BD"/>
    <w:multiLevelType w:val="hybridMultilevel"/>
    <w:tmpl w:val="39E2FE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CE3157"/>
    <w:multiLevelType w:val="multilevel"/>
    <w:tmpl w:val="3698BBA6"/>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D21BE1"/>
    <w:multiLevelType w:val="hybridMultilevel"/>
    <w:tmpl w:val="817E6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FD09D3"/>
    <w:multiLevelType w:val="hybridMultilevel"/>
    <w:tmpl w:val="374E0298"/>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8" w15:restartNumberingAfterBreak="0">
    <w:nsid w:val="66203539"/>
    <w:multiLevelType w:val="hybridMultilevel"/>
    <w:tmpl w:val="015097EA"/>
    <w:lvl w:ilvl="0" w:tplc="BAE0D1F4">
      <w:start w:val="1"/>
      <w:numFmt w:val="decimal"/>
      <w:lvlText w:val="%1"/>
      <w:lvlJc w:val="left"/>
      <w:pPr>
        <w:ind w:left="1296" w:hanging="360"/>
      </w:pPr>
      <w:rPr>
        <w:rFonts w:hint="default"/>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29" w15:restartNumberingAfterBreak="0">
    <w:nsid w:val="680379FB"/>
    <w:multiLevelType w:val="hybridMultilevel"/>
    <w:tmpl w:val="A9B2C0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6BE7566F"/>
    <w:multiLevelType w:val="multilevel"/>
    <w:tmpl w:val="6E5C245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2" w15:restartNumberingAfterBreak="0">
    <w:nsid w:val="6CC20A20"/>
    <w:multiLevelType w:val="hybridMultilevel"/>
    <w:tmpl w:val="231A21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6518F"/>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758F4936"/>
    <w:multiLevelType w:val="hybridMultilevel"/>
    <w:tmpl w:val="E37EF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607D2A"/>
    <w:multiLevelType w:val="hybridMultilevel"/>
    <w:tmpl w:val="1FDC878A"/>
    <w:lvl w:ilvl="0" w:tplc="5FB4ED1E">
      <w:start w:val="1"/>
      <w:numFmt w:val="bullet"/>
      <w:lvlText w:val="•"/>
      <w:lvlJc w:val="left"/>
      <w:pPr>
        <w:tabs>
          <w:tab w:val="num" w:pos="720"/>
        </w:tabs>
        <w:ind w:left="720" w:hanging="360"/>
      </w:pPr>
      <w:rPr>
        <w:rFonts w:ascii="Arial" w:hAnsi="Arial" w:hint="default"/>
      </w:rPr>
    </w:lvl>
    <w:lvl w:ilvl="1" w:tplc="4056A010" w:tentative="1">
      <w:start w:val="1"/>
      <w:numFmt w:val="bullet"/>
      <w:lvlText w:val="•"/>
      <w:lvlJc w:val="left"/>
      <w:pPr>
        <w:tabs>
          <w:tab w:val="num" w:pos="1440"/>
        </w:tabs>
        <w:ind w:left="1440" w:hanging="360"/>
      </w:pPr>
      <w:rPr>
        <w:rFonts w:ascii="Arial" w:hAnsi="Arial" w:hint="default"/>
      </w:rPr>
    </w:lvl>
    <w:lvl w:ilvl="2" w:tplc="2B92FA86" w:tentative="1">
      <w:start w:val="1"/>
      <w:numFmt w:val="bullet"/>
      <w:lvlText w:val="•"/>
      <w:lvlJc w:val="left"/>
      <w:pPr>
        <w:tabs>
          <w:tab w:val="num" w:pos="2160"/>
        </w:tabs>
        <w:ind w:left="2160" w:hanging="360"/>
      </w:pPr>
      <w:rPr>
        <w:rFonts w:ascii="Arial" w:hAnsi="Arial" w:hint="default"/>
      </w:rPr>
    </w:lvl>
    <w:lvl w:ilvl="3" w:tplc="7E8C45B6" w:tentative="1">
      <w:start w:val="1"/>
      <w:numFmt w:val="bullet"/>
      <w:lvlText w:val="•"/>
      <w:lvlJc w:val="left"/>
      <w:pPr>
        <w:tabs>
          <w:tab w:val="num" w:pos="2880"/>
        </w:tabs>
        <w:ind w:left="2880" w:hanging="360"/>
      </w:pPr>
      <w:rPr>
        <w:rFonts w:ascii="Arial" w:hAnsi="Arial" w:hint="default"/>
      </w:rPr>
    </w:lvl>
    <w:lvl w:ilvl="4" w:tplc="BC14F66C" w:tentative="1">
      <w:start w:val="1"/>
      <w:numFmt w:val="bullet"/>
      <w:lvlText w:val="•"/>
      <w:lvlJc w:val="left"/>
      <w:pPr>
        <w:tabs>
          <w:tab w:val="num" w:pos="3600"/>
        </w:tabs>
        <w:ind w:left="3600" w:hanging="360"/>
      </w:pPr>
      <w:rPr>
        <w:rFonts w:ascii="Arial" w:hAnsi="Arial" w:hint="default"/>
      </w:rPr>
    </w:lvl>
    <w:lvl w:ilvl="5" w:tplc="168C743E" w:tentative="1">
      <w:start w:val="1"/>
      <w:numFmt w:val="bullet"/>
      <w:lvlText w:val="•"/>
      <w:lvlJc w:val="left"/>
      <w:pPr>
        <w:tabs>
          <w:tab w:val="num" w:pos="4320"/>
        </w:tabs>
        <w:ind w:left="4320" w:hanging="360"/>
      </w:pPr>
      <w:rPr>
        <w:rFonts w:ascii="Arial" w:hAnsi="Arial" w:hint="default"/>
      </w:rPr>
    </w:lvl>
    <w:lvl w:ilvl="6" w:tplc="E612EACA" w:tentative="1">
      <w:start w:val="1"/>
      <w:numFmt w:val="bullet"/>
      <w:lvlText w:val="•"/>
      <w:lvlJc w:val="left"/>
      <w:pPr>
        <w:tabs>
          <w:tab w:val="num" w:pos="5040"/>
        </w:tabs>
        <w:ind w:left="5040" w:hanging="360"/>
      </w:pPr>
      <w:rPr>
        <w:rFonts w:ascii="Arial" w:hAnsi="Arial" w:hint="default"/>
      </w:rPr>
    </w:lvl>
    <w:lvl w:ilvl="7" w:tplc="EDA8C658" w:tentative="1">
      <w:start w:val="1"/>
      <w:numFmt w:val="bullet"/>
      <w:lvlText w:val="•"/>
      <w:lvlJc w:val="left"/>
      <w:pPr>
        <w:tabs>
          <w:tab w:val="num" w:pos="5760"/>
        </w:tabs>
        <w:ind w:left="5760" w:hanging="360"/>
      </w:pPr>
      <w:rPr>
        <w:rFonts w:ascii="Arial" w:hAnsi="Arial" w:hint="default"/>
      </w:rPr>
    </w:lvl>
    <w:lvl w:ilvl="8" w:tplc="9580DE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0330B6"/>
    <w:multiLevelType w:val="hybridMultilevel"/>
    <w:tmpl w:val="F7680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32287F"/>
    <w:multiLevelType w:val="hybridMultilevel"/>
    <w:tmpl w:val="B85AE3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03694B"/>
    <w:multiLevelType w:val="hybridMultilevel"/>
    <w:tmpl w:val="17DCB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7"/>
  </w:num>
  <w:num w:numId="3">
    <w:abstractNumId w:val="5"/>
  </w:num>
  <w:num w:numId="4">
    <w:abstractNumId w:val="35"/>
  </w:num>
  <w:num w:numId="5">
    <w:abstractNumId w:val="7"/>
  </w:num>
  <w:num w:numId="6">
    <w:abstractNumId w:val="4"/>
  </w:num>
  <w:num w:numId="7">
    <w:abstractNumId w:val="33"/>
  </w:num>
  <w:num w:numId="8">
    <w:abstractNumId w:val="30"/>
  </w:num>
  <w:num w:numId="9">
    <w:abstractNumId w:val="19"/>
  </w:num>
  <w:num w:numId="10">
    <w:abstractNumId w:val="14"/>
  </w:num>
  <w:num w:numId="11">
    <w:abstractNumId w:val="38"/>
  </w:num>
  <w:num w:numId="12">
    <w:abstractNumId w:val="25"/>
  </w:num>
  <w:num w:numId="13">
    <w:abstractNumId w:val="22"/>
  </w:num>
  <w:num w:numId="14">
    <w:abstractNumId w:val="0"/>
  </w:num>
  <w:num w:numId="15">
    <w:abstractNumId w:val="3"/>
  </w:num>
  <w:num w:numId="16">
    <w:abstractNumId w:val="20"/>
  </w:num>
  <w:num w:numId="17">
    <w:abstractNumId w:val="16"/>
  </w:num>
  <w:num w:numId="18">
    <w:abstractNumId w:val="12"/>
  </w:num>
  <w:num w:numId="19">
    <w:abstractNumId w:val="27"/>
  </w:num>
  <w:num w:numId="20">
    <w:abstractNumId w:val="32"/>
  </w:num>
  <w:num w:numId="21">
    <w:abstractNumId w:val="13"/>
  </w:num>
  <w:num w:numId="22">
    <w:abstractNumId w:val="31"/>
  </w:num>
  <w:num w:numId="23">
    <w:abstractNumId w:val="6"/>
  </w:num>
  <w:num w:numId="24">
    <w:abstractNumId w:val="21"/>
  </w:num>
  <w:num w:numId="25">
    <w:abstractNumId w:val="36"/>
  </w:num>
  <w:num w:numId="26">
    <w:abstractNumId w:val="11"/>
  </w:num>
  <w:num w:numId="27">
    <w:abstractNumId w:val="37"/>
  </w:num>
  <w:num w:numId="28">
    <w:abstractNumId w:val="15"/>
  </w:num>
  <w:num w:numId="29">
    <w:abstractNumId w:val="24"/>
  </w:num>
  <w:num w:numId="30">
    <w:abstractNumId w:val="1"/>
  </w:num>
  <w:num w:numId="31">
    <w:abstractNumId w:val="34"/>
  </w:num>
  <w:num w:numId="32">
    <w:abstractNumId w:val="28"/>
  </w:num>
  <w:num w:numId="33">
    <w:abstractNumId w:val="10"/>
  </w:num>
  <w:num w:numId="34">
    <w:abstractNumId w:val="9"/>
  </w:num>
  <w:num w:numId="35">
    <w:abstractNumId w:val="18"/>
  </w:num>
  <w:num w:numId="36">
    <w:abstractNumId w:val="26"/>
  </w:num>
  <w:num w:numId="37">
    <w:abstractNumId w:val="2"/>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426"/>
    <w:rsid w:val="00002414"/>
    <w:rsid w:val="00006300"/>
    <w:rsid w:val="00007C58"/>
    <w:rsid w:val="000114D4"/>
    <w:rsid w:val="00013199"/>
    <w:rsid w:val="00032326"/>
    <w:rsid w:val="00033F12"/>
    <w:rsid w:val="000502A2"/>
    <w:rsid w:val="00051D96"/>
    <w:rsid w:val="0005223A"/>
    <w:rsid w:val="00062EFA"/>
    <w:rsid w:val="00065B86"/>
    <w:rsid w:val="00067097"/>
    <w:rsid w:val="00072BC9"/>
    <w:rsid w:val="000740D8"/>
    <w:rsid w:val="00075094"/>
    <w:rsid w:val="00087B0D"/>
    <w:rsid w:val="000A1FAB"/>
    <w:rsid w:val="000A43D8"/>
    <w:rsid w:val="000A54AE"/>
    <w:rsid w:val="000A5C64"/>
    <w:rsid w:val="000A7BAC"/>
    <w:rsid w:val="000B4827"/>
    <w:rsid w:val="000C2EE9"/>
    <w:rsid w:val="000D22FE"/>
    <w:rsid w:val="000D7345"/>
    <w:rsid w:val="000E1CEA"/>
    <w:rsid w:val="000E26FC"/>
    <w:rsid w:val="000E41CC"/>
    <w:rsid w:val="000F34EF"/>
    <w:rsid w:val="000F4B93"/>
    <w:rsid w:val="000F5173"/>
    <w:rsid w:val="00102729"/>
    <w:rsid w:val="00102A45"/>
    <w:rsid w:val="001131CC"/>
    <w:rsid w:val="001152B6"/>
    <w:rsid w:val="001169C3"/>
    <w:rsid w:val="00123714"/>
    <w:rsid w:val="0012476E"/>
    <w:rsid w:val="00125CB5"/>
    <w:rsid w:val="00132C38"/>
    <w:rsid w:val="00134F10"/>
    <w:rsid w:val="0013703C"/>
    <w:rsid w:val="0014582B"/>
    <w:rsid w:val="00151B5C"/>
    <w:rsid w:val="0016091F"/>
    <w:rsid w:val="00161E86"/>
    <w:rsid w:val="00164773"/>
    <w:rsid w:val="00164C96"/>
    <w:rsid w:val="00172AE2"/>
    <w:rsid w:val="0018613B"/>
    <w:rsid w:val="00190244"/>
    <w:rsid w:val="00191914"/>
    <w:rsid w:val="00195299"/>
    <w:rsid w:val="00197355"/>
    <w:rsid w:val="001A112E"/>
    <w:rsid w:val="001A29C0"/>
    <w:rsid w:val="001A464C"/>
    <w:rsid w:val="001C4846"/>
    <w:rsid w:val="001D3E21"/>
    <w:rsid w:val="001D4A84"/>
    <w:rsid w:val="001E1DB6"/>
    <w:rsid w:val="00200082"/>
    <w:rsid w:val="002013AA"/>
    <w:rsid w:val="00201799"/>
    <w:rsid w:val="00201956"/>
    <w:rsid w:val="00211C8C"/>
    <w:rsid w:val="0021686F"/>
    <w:rsid w:val="00221219"/>
    <w:rsid w:val="00221890"/>
    <w:rsid w:val="00227CDB"/>
    <w:rsid w:val="00230737"/>
    <w:rsid w:val="00233DF8"/>
    <w:rsid w:val="00242905"/>
    <w:rsid w:val="00244E1F"/>
    <w:rsid w:val="00253CFA"/>
    <w:rsid w:val="0026433E"/>
    <w:rsid w:val="00264EA1"/>
    <w:rsid w:val="00266148"/>
    <w:rsid w:val="00267D40"/>
    <w:rsid w:val="00270C08"/>
    <w:rsid w:val="0027235A"/>
    <w:rsid w:val="00293086"/>
    <w:rsid w:val="00297E43"/>
    <w:rsid w:val="002A5530"/>
    <w:rsid w:val="002A5EF9"/>
    <w:rsid w:val="002D7771"/>
    <w:rsid w:val="002E20B2"/>
    <w:rsid w:val="002E2A7E"/>
    <w:rsid w:val="002F25CA"/>
    <w:rsid w:val="002F426A"/>
    <w:rsid w:val="002F635C"/>
    <w:rsid w:val="00300F92"/>
    <w:rsid w:val="00301DFC"/>
    <w:rsid w:val="003032FD"/>
    <w:rsid w:val="00305A24"/>
    <w:rsid w:val="00305EA0"/>
    <w:rsid w:val="003078FB"/>
    <w:rsid w:val="00310039"/>
    <w:rsid w:val="00314466"/>
    <w:rsid w:val="00322A96"/>
    <w:rsid w:val="0032689E"/>
    <w:rsid w:val="003419EE"/>
    <w:rsid w:val="0034701E"/>
    <w:rsid w:val="00347B81"/>
    <w:rsid w:val="0036142E"/>
    <w:rsid w:val="00362EC1"/>
    <w:rsid w:val="003678C4"/>
    <w:rsid w:val="003731FB"/>
    <w:rsid w:val="00377FB0"/>
    <w:rsid w:val="003815CD"/>
    <w:rsid w:val="00391692"/>
    <w:rsid w:val="00395E77"/>
    <w:rsid w:val="003A559D"/>
    <w:rsid w:val="003B4B0D"/>
    <w:rsid w:val="003B7580"/>
    <w:rsid w:val="003C3F82"/>
    <w:rsid w:val="003C6E94"/>
    <w:rsid w:val="003D189F"/>
    <w:rsid w:val="003E5DA8"/>
    <w:rsid w:val="003F24F1"/>
    <w:rsid w:val="003F6107"/>
    <w:rsid w:val="003F7755"/>
    <w:rsid w:val="003F7EC0"/>
    <w:rsid w:val="00407BEC"/>
    <w:rsid w:val="00410D87"/>
    <w:rsid w:val="00412C4A"/>
    <w:rsid w:val="0041546A"/>
    <w:rsid w:val="0042217A"/>
    <w:rsid w:val="004247DA"/>
    <w:rsid w:val="00424A9C"/>
    <w:rsid w:val="00425421"/>
    <w:rsid w:val="00435A6C"/>
    <w:rsid w:val="004438C9"/>
    <w:rsid w:val="00446E27"/>
    <w:rsid w:val="004521E1"/>
    <w:rsid w:val="0046388B"/>
    <w:rsid w:val="00464747"/>
    <w:rsid w:val="004703CB"/>
    <w:rsid w:val="004756D9"/>
    <w:rsid w:val="00483F20"/>
    <w:rsid w:val="00486C62"/>
    <w:rsid w:val="004876B1"/>
    <w:rsid w:val="00490D10"/>
    <w:rsid w:val="0049314C"/>
    <w:rsid w:val="00497B8F"/>
    <w:rsid w:val="004A0B7A"/>
    <w:rsid w:val="004A2AF2"/>
    <w:rsid w:val="004B040B"/>
    <w:rsid w:val="004B2C2B"/>
    <w:rsid w:val="004B3B42"/>
    <w:rsid w:val="004C081F"/>
    <w:rsid w:val="004C20AC"/>
    <w:rsid w:val="004D13AD"/>
    <w:rsid w:val="004D1769"/>
    <w:rsid w:val="004D30CD"/>
    <w:rsid w:val="004D7769"/>
    <w:rsid w:val="004E31B0"/>
    <w:rsid w:val="004E39CA"/>
    <w:rsid w:val="004F1D93"/>
    <w:rsid w:val="004F4596"/>
    <w:rsid w:val="004F72B1"/>
    <w:rsid w:val="005005B1"/>
    <w:rsid w:val="0050706A"/>
    <w:rsid w:val="00507D7A"/>
    <w:rsid w:val="00511B94"/>
    <w:rsid w:val="00515872"/>
    <w:rsid w:val="00516AB2"/>
    <w:rsid w:val="00524D7B"/>
    <w:rsid w:val="00527DA1"/>
    <w:rsid w:val="00535109"/>
    <w:rsid w:val="005444FB"/>
    <w:rsid w:val="00550129"/>
    <w:rsid w:val="00551224"/>
    <w:rsid w:val="00574B2B"/>
    <w:rsid w:val="005753DA"/>
    <w:rsid w:val="00576270"/>
    <w:rsid w:val="00577000"/>
    <w:rsid w:val="005834DC"/>
    <w:rsid w:val="00585565"/>
    <w:rsid w:val="005953A0"/>
    <w:rsid w:val="00597CD8"/>
    <w:rsid w:val="005A75AF"/>
    <w:rsid w:val="005B074D"/>
    <w:rsid w:val="005B28B6"/>
    <w:rsid w:val="005B3F7F"/>
    <w:rsid w:val="005B4379"/>
    <w:rsid w:val="005B5E5B"/>
    <w:rsid w:val="005C23C1"/>
    <w:rsid w:val="005D163A"/>
    <w:rsid w:val="005D249A"/>
    <w:rsid w:val="005E022F"/>
    <w:rsid w:val="005E5062"/>
    <w:rsid w:val="005E529B"/>
    <w:rsid w:val="005E7912"/>
    <w:rsid w:val="00603BA7"/>
    <w:rsid w:val="00604813"/>
    <w:rsid w:val="0061058C"/>
    <w:rsid w:val="00622815"/>
    <w:rsid w:val="00623676"/>
    <w:rsid w:val="006308E7"/>
    <w:rsid w:val="00631E18"/>
    <w:rsid w:val="00641428"/>
    <w:rsid w:val="006423A9"/>
    <w:rsid w:val="006560C7"/>
    <w:rsid w:val="00656721"/>
    <w:rsid w:val="00662190"/>
    <w:rsid w:val="006765F4"/>
    <w:rsid w:val="006872C4"/>
    <w:rsid w:val="00687BFD"/>
    <w:rsid w:val="006956F7"/>
    <w:rsid w:val="00695F71"/>
    <w:rsid w:val="006A19C8"/>
    <w:rsid w:val="006A328F"/>
    <w:rsid w:val="006A390C"/>
    <w:rsid w:val="006B0FB7"/>
    <w:rsid w:val="006B2E30"/>
    <w:rsid w:val="006B7D77"/>
    <w:rsid w:val="006C058C"/>
    <w:rsid w:val="006C2E56"/>
    <w:rsid w:val="006C4966"/>
    <w:rsid w:val="006E36E4"/>
    <w:rsid w:val="006F4D3F"/>
    <w:rsid w:val="006F68F8"/>
    <w:rsid w:val="00702E1B"/>
    <w:rsid w:val="00707BB0"/>
    <w:rsid w:val="00710B4C"/>
    <w:rsid w:val="0071269F"/>
    <w:rsid w:val="007126EC"/>
    <w:rsid w:val="00713171"/>
    <w:rsid w:val="00727BD2"/>
    <w:rsid w:val="00734CD1"/>
    <w:rsid w:val="00740DD1"/>
    <w:rsid w:val="00751727"/>
    <w:rsid w:val="00755CBD"/>
    <w:rsid w:val="007667F7"/>
    <w:rsid w:val="007740D7"/>
    <w:rsid w:val="00775805"/>
    <w:rsid w:val="0078180D"/>
    <w:rsid w:val="007848F7"/>
    <w:rsid w:val="00787CDF"/>
    <w:rsid w:val="00793E4D"/>
    <w:rsid w:val="007A1C3A"/>
    <w:rsid w:val="007A5748"/>
    <w:rsid w:val="007A6621"/>
    <w:rsid w:val="007B1153"/>
    <w:rsid w:val="007B15C4"/>
    <w:rsid w:val="007B268C"/>
    <w:rsid w:val="007B37C7"/>
    <w:rsid w:val="007B4785"/>
    <w:rsid w:val="007B554C"/>
    <w:rsid w:val="007C1CC5"/>
    <w:rsid w:val="007C2C43"/>
    <w:rsid w:val="007C3E88"/>
    <w:rsid w:val="007D7FE1"/>
    <w:rsid w:val="007E2EA3"/>
    <w:rsid w:val="007F54C9"/>
    <w:rsid w:val="00801A55"/>
    <w:rsid w:val="00802D06"/>
    <w:rsid w:val="00803F15"/>
    <w:rsid w:val="0081108C"/>
    <w:rsid w:val="00811CB0"/>
    <w:rsid w:val="0081614F"/>
    <w:rsid w:val="008173D1"/>
    <w:rsid w:val="008228D1"/>
    <w:rsid w:val="0082527B"/>
    <w:rsid w:val="0083784A"/>
    <w:rsid w:val="00841540"/>
    <w:rsid w:val="008447A2"/>
    <w:rsid w:val="00853003"/>
    <w:rsid w:val="00864AC5"/>
    <w:rsid w:val="00864ADF"/>
    <w:rsid w:val="008672F9"/>
    <w:rsid w:val="00870D40"/>
    <w:rsid w:val="008777E1"/>
    <w:rsid w:val="008815C6"/>
    <w:rsid w:val="00883A95"/>
    <w:rsid w:val="00884F7A"/>
    <w:rsid w:val="00885249"/>
    <w:rsid w:val="00890943"/>
    <w:rsid w:val="00896418"/>
    <w:rsid w:val="00896C95"/>
    <w:rsid w:val="008A4E7D"/>
    <w:rsid w:val="008A61E9"/>
    <w:rsid w:val="008C01A0"/>
    <w:rsid w:val="008C42B3"/>
    <w:rsid w:val="008E4EE1"/>
    <w:rsid w:val="008E689E"/>
    <w:rsid w:val="008F5303"/>
    <w:rsid w:val="009066A6"/>
    <w:rsid w:val="00911201"/>
    <w:rsid w:val="00924ED7"/>
    <w:rsid w:val="00927762"/>
    <w:rsid w:val="00931DF3"/>
    <w:rsid w:val="00940322"/>
    <w:rsid w:val="00940C49"/>
    <w:rsid w:val="0094135C"/>
    <w:rsid w:val="009468AE"/>
    <w:rsid w:val="00953BF2"/>
    <w:rsid w:val="00955C19"/>
    <w:rsid w:val="00972A54"/>
    <w:rsid w:val="00974AD8"/>
    <w:rsid w:val="00985117"/>
    <w:rsid w:val="0099664E"/>
    <w:rsid w:val="009A755C"/>
    <w:rsid w:val="009A75C1"/>
    <w:rsid w:val="009A7648"/>
    <w:rsid w:val="009B145D"/>
    <w:rsid w:val="009B3741"/>
    <w:rsid w:val="009B3B61"/>
    <w:rsid w:val="009B5495"/>
    <w:rsid w:val="009B5845"/>
    <w:rsid w:val="009B699E"/>
    <w:rsid w:val="009C27E1"/>
    <w:rsid w:val="009C3DE4"/>
    <w:rsid w:val="009C426F"/>
    <w:rsid w:val="009C5ED7"/>
    <w:rsid w:val="009C66AE"/>
    <w:rsid w:val="009D0EF7"/>
    <w:rsid w:val="009E30C1"/>
    <w:rsid w:val="009E6B07"/>
    <w:rsid w:val="009F4A53"/>
    <w:rsid w:val="009F5533"/>
    <w:rsid w:val="00A12569"/>
    <w:rsid w:val="00A13FFF"/>
    <w:rsid w:val="00A22633"/>
    <w:rsid w:val="00A24608"/>
    <w:rsid w:val="00A334F1"/>
    <w:rsid w:val="00A35508"/>
    <w:rsid w:val="00A46B7A"/>
    <w:rsid w:val="00A52149"/>
    <w:rsid w:val="00A52754"/>
    <w:rsid w:val="00A52F9F"/>
    <w:rsid w:val="00A5649C"/>
    <w:rsid w:val="00A83A4F"/>
    <w:rsid w:val="00A86177"/>
    <w:rsid w:val="00A95157"/>
    <w:rsid w:val="00AA2D25"/>
    <w:rsid w:val="00AA3BF8"/>
    <w:rsid w:val="00AA5D11"/>
    <w:rsid w:val="00AB160C"/>
    <w:rsid w:val="00AB3555"/>
    <w:rsid w:val="00AB69A3"/>
    <w:rsid w:val="00AC0375"/>
    <w:rsid w:val="00AC765B"/>
    <w:rsid w:val="00AC7908"/>
    <w:rsid w:val="00AD1589"/>
    <w:rsid w:val="00AD2103"/>
    <w:rsid w:val="00AE0AC0"/>
    <w:rsid w:val="00AF0A42"/>
    <w:rsid w:val="00AF0FB3"/>
    <w:rsid w:val="00AF224F"/>
    <w:rsid w:val="00B04C47"/>
    <w:rsid w:val="00B137CF"/>
    <w:rsid w:val="00B14BC1"/>
    <w:rsid w:val="00B14E77"/>
    <w:rsid w:val="00B243D6"/>
    <w:rsid w:val="00B31973"/>
    <w:rsid w:val="00B344B8"/>
    <w:rsid w:val="00B42960"/>
    <w:rsid w:val="00B442AC"/>
    <w:rsid w:val="00B5070A"/>
    <w:rsid w:val="00B6040D"/>
    <w:rsid w:val="00B60B7D"/>
    <w:rsid w:val="00B632DD"/>
    <w:rsid w:val="00B75F0D"/>
    <w:rsid w:val="00B77CE0"/>
    <w:rsid w:val="00B77E5C"/>
    <w:rsid w:val="00B80178"/>
    <w:rsid w:val="00B82665"/>
    <w:rsid w:val="00B829E0"/>
    <w:rsid w:val="00B836E1"/>
    <w:rsid w:val="00BA077C"/>
    <w:rsid w:val="00BA2FB9"/>
    <w:rsid w:val="00BA3136"/>
    <w:rsid w:val="00BA6677"/>
    <w:rsid w:val="00BB3951"/>
    <w:rsid w:val="00BB4CBE"/>
    <w:rsid w:val="00BB4F6B"/>
    <w:rsid w:val="00BB6299"/>
    <w:rsid w:val="00BC01DA"/>
    <w:rsid w:val="00BD45FF"/>
    <w:rsid w:val="00BD4655"/>
    <w:rsid w:val="00BD5C54"/>
    <w:rsid w:val="00BE1F4E"/>
    <w:rsid w:val="00BE2E19"/>
    <w:rsid w:val="00BF00B3"/>
    <w:rsid w:val="00BF442A"/>
    <w:rsid w:val="00BF5125"/>
    <w:rsid w:val="00BF54CB"/>
    <w:rsid w:val="00BF5EAC"/>
    <w:rsid w:val="00C02502"/>
    <w:rsid w:val="00C10F6C"/>
    <w:rsid w:val="00C12025"/>
    <w:rsid w:val="00C12A1F"/>
    <w:rsid w:val="00C13039"/>
    <w:rsid w:val="00C136C2"/>
    <w:rsid w:val="00C13C74"/>
    <w:rsid w:val="00C22A8E"/>
    <w:rsid w:val="00C3209B"/>
    <w:rsid w:val="00C35DAF"/>
    <w:rsid w:val="00C43795"/>
    <w:rsid w:val="00C43FDD"/>
    <w:rsid w:val="00C44EBF"/>
    <w:rsid w:val="00C46FED"/>
    <w:rsid w:val="00C56304"/>
    <w:rsid w:val="00C60903"/>
    <w:rsid w:val="00C66834"/>
    <w:rsid w:val="00C677EE"/>
    <w:rsid w:val="00C7281C"/>
    <w:rsid w:val="00C76AD1"/>
    <w:rsid w:val="00C77896"/>
    <w:rsid w:val="00C84457"/>
    <w:rsid w:val="00C95BFC"/>
    <w:rsid w:val="00C9730F"/>
    <w:rsid w:val="00C975D9"/>
    <w:rsid w:val="00CA4E32"/>
    <w:rsid w:val="00CA71C8"/>
    <w:rsid w:val="00CA730C"/>
    <w:rsid w:val="00CB1041"/>
    <w:rsid w:val="00CB1E8E"/>
    <w:rsid w:val="00CB3977"/>
    <w:rsid w:val="00CB57B4"/>
    <w:rsid w:val="00CB5DCF"/>
    <w:rsid w:val="00CC0B72"/>
    <w:rsid w:val="00CC3792"/>
    <w:rsid w:val="00CC3E23"/>
    <w:rsid w:val="00CD160D"/>
    <w:rsid w:val="00CE4AEC"/>
    <w:rsid w:val="00CE760E"/>
    <w:rsid w:val="00D004AE"/>
    <w:rsid w:val="00D01D6B"/>
    <w:rsid w:val="00D03623"/>
    <w:rsid w:val="00D0382F"/>
    <w:rsid w:val="00D07404"/>
    <w:rsid w:val="00D1084A"/>
    <w:rsid w:val="00D13FB8"/>
    <w:rsid w:val="00D168FD"/>
    <w:rsid w:val="00D2221E"/>
    <w:rsid w:val="00D242D1"/>
    <w:rsid w:val="00D34736"/>
    <w:rsid w:val="00D372BA"/>
    <w:rsid w:val="00D40D7B"/>
    <w:rsid w:val="00D41BC7"/>
    <w:rsid w:val="00D44FE3"/>
    <w:rsid w:val="00D47C99"/>
    <w:rsid w:val="00D5014C"/>
    <w:rsid w:val="00D567EB"/>
    <w:rsid w:val="00D617DD"/>
    <w:rsid w:val="00D71000"/>
    <w:rsid w:val="00D715F1"/>
    <w:rsid w:val="00D81CCD"/>
    <w:rsid w:val="00D81DF8"/>
    <w:rsid w:val="00D87426"/>
    <w:rsid w:val="00D92456"/>
    <w:rsid w:val="00D935B8"/>
    <w:rsid w:val="00DA035A"/>
    <w:rsid w:val="00DA05FC"/>
    <w:rsid w:val="00DA46DB"/>
    <w:rsid w:val="00DA4CF9"/>
    <w:rsid w:val="00DA540E"/>
    <w:rsid w:val="00DA59B4"/>
    <w:rsid w:val="00DA5D4A"/>
    <w:rsid w:val="00DB224E"/>
    <w:rsid w:val="00DB2619"/>
    <w:rsid w:val="00DB2E2D"/>
    <w:rsid w:val="00DB5CA9"/>
    <w:rsid w:val="00DD14C8"/>
    <w:rsid w:val="00DD63B8"/>
    <w:rsid w:val="00DE5A8C"/>
    <w:rsid w:val="00DE66AE"/>
    <w:rsid w:val="00DE6AEC"/>
    <w:rsid w:val="00DF082B"/>
    <w:rsid w:val="00DF0B23"/>
    <w:rsid w:val="00E02F02"/>
    <w:rsid w:val="00E03989"/>
    <w:rsid w:val="00E13A6E"/>
    <w:rsid w:val="00E22307"/>
    <w:rsid w:val="00E32297"/>
    <w:rsid w:val="00E430FC"/>
    <w:rsid w:val="00E451EC"/>
    <w:rsid w:val="00E4733D"/>
    <w:rsid w:val="00E51512"/>
    <w:rsid w:val="00E51FB9"/>
    <w:rsid w:val="00E55318"/>
    <w:rsid w:val="00E55F9A"/>
    <w:rsid w:val="00E601D4"/>
    <w:rsid w:val="00E6150C"/>
    <w:rsid w:val="00E64124"/>
    <w:rsid w:val="00E71677"/>
    <w:rsid w:val="00E73046"/>
    <w:rsid w:val="00E7624B"/>
    <w:rsid w:val="00E81B0B"/>
    <w:rsid w:val="00E86586"/>
    <w:rsid w:val="00E90C4A"/>
    <w:rsid w:val="00E9327F"/>
    <w:rsid w:val="00E955F0"/>
    <w:rsid w:val="00E97A92"/>
    <w:rsid w:val="00EA2092"/>
    <w:rsid w:val="00EA5035"/>
    <w:rsid w:val="00EB7391"/>
    <w:rsid w:val="00EC6BB5"/>
    <w:rsid w:val="00ED11E8"/>
    <w:rsid w:val="00ED172E"/>
    <w:rsid w:val="00EE295F"/>
    <w:rsid w:val="00EE2CA5"/>
    <w:rsid w:val="00EF6A92"/>
    <w:rsid w:val="00EF71C5"/>
    <w:rsid w:val="00EF7905"/>
    <w:rsid w:val="00F00B0A"/>
    <w:rsid w:val="00F05AD9"/>
    <w:rsid w:val="00F11AB6"/>
    <w:rsid w:val="00F126A4"/>
    <w:rsid w:val="00F14991"/>
    <w:rsid w:val="00F17701"/>
    <w:rsid w:val="00F23794"/>
    <w:rsid w:val="00F30D58"/>
    <w:rsid w:val="00F3222B"/>
    <w:rsid w:val="00F35D75"/>
    <w:rsid w:val="00F52A76"/>
    <w:rsid w:val="00F52ECC"/>
    <w:rsid w:val="00F5345C"/>
    <w:rsid w:val="00F543EB"/>
    <w:rsid w:val="00F674E7"/>
    <w:rsid w:val="00F71CF9"/>
    <w:rsid w:val="00F754B3"/>
    <w:rsid w:val="00F77E7C"/>
    <w:rsid w:val="00F84BE0"/>
    <w:rsid w:val="00F95781"/>
    <w:rsid w:val="00FA2C71"/>
    <w:rsid w:val="00FB0A8E"/>
    <w:rsid w:val="00FB7BF2"/>
    <w:rsid w:val="00FC23D9"/>
    <w:rsid w:val="00FC5ADA"/>
    <w:rsid w:val="00FD17BC"/>
    <w:rsid w:val="00FD78C7"/>
    <w:rsid w:val="00FE236A"/>
    <w:rsid w:val="00FE784F"/>
    <w:rsid w:val="00FF0C77"/>
    <w:rsid w:val="00FF2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DE38D"/>
  <w15:docId w15:val="{E453E073-0FC5-42E9-B213-8A09737F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748"/>
    <w:pPr>
      <w:jc w:val="both"/>
    </w:pPr>
    <w:rPr>
      <w:rFonts w:asciiTheme="majorHAnsi" w:hAnsiTheme="majorHAnsi"/>
      <w:color w:val="7F7F7F" w:themeColor="text1" w:themeTint="80"/>
      <w:sz w:val="18"/>
    </w:rPr>
  </w:style>
  <w:style w:type="paragraph" w:styleId="Ttulo1">
    <w:name w:val="heading 1"/>
    <w:basedOn w:val="Normal"/>
    <w:next w:val="Normal"/>
    <w:link w:val="Ttulo1Char"/>
    <w:uiPriority w:val="9"/>
    <w:qFormat/>
    <w:rsid w:val="006B0FB7"/>
    <w:pPr>
      <w:keepNext/>
      <w:keepLines/>
      <w:numPr>
        <w:numId w:val="22"/>
      </w:numPr>
      <w:spacing w:beforeLines="120" w:before="288" w:after="0" w:line="240" w:lineRule="auto"/>
      <w:outlineLvl w:val="0"/>
    </w:pPr>
    <w:rPr>
      <w:rFonts w:eastAsiaTheme="majorEastAsia" w:cstheme="majorBidi"/>
      <w:b/>
      <w:color w:val="ED7D31"/>
      <w:szCs w:val="20"/>
    </w:rPr>
  </w:style>
  <w:style w:type="paragraph" w:styleId="Ttulo2">
    <w:name w:val="heading 2"/>
    <w:basedOn w:val="Normal"/>
    <w:next w:val="Normal"/>
    <w:link w:val="Ttulo2Char"/>
    <w:autoRedefine/>
    <w:uiPriority w:val="9"/>
    <w:unhideWhenUsed/>
    <w:qFormat/>
    <w:rsid w:val="00314466"/>
    <w:pPr>
      <w:keepNext/>
      <w:keepLines/>
      <w:numPr>
        <w:ilvl w:val="1"/>
        <w:numId w:val="22"/>
      </w:numPr>
      <w:spacing w:before="240"/>
      <w:outlineLvl w:val="1"/>
    </w:pPr>
    <w:rPr>
      <w:rFonts w:eastAsiaTheme="majorEastAsia" w:cstheme="majorBidi"/>
      <w:b/>
      <w:color w:val="44546A" w:themeColor="text2"/>
      <w:szCs w:val="26"/>
    </w:rPr>
  </w:style>
  <w:style w:type="paragraph" w:styleId="Ttulo3">
    <w:name w:val="heading 3"/>
    <w:basedOn w:val="Normal"/>
    <w:next w:val="Normal"/>
    <w:link w:val="Ttulo3Char"/>
    <w:uiPriority w:val="9"/>
    <w:unhideWhenUsed/>
    <w:qFormat/>
    <w:rsid w:val="00574B2B"/>
    <w:pPr>
      <w:keepNext/>
      <w:keepLines/>
      <w:numPr>
        <w:ilvl w:val="2"/>
        <w:numId w:val="22"/>
      </w:numPr>
      <w:spacing w:before="40" w:after="0"/>
      <w:ind w:left="1428"/>
      <w:outlineLvl w:val="2"/>
    </w:pPr>
    <w:rPr>
      <w:rFonts w:eastAsiaTheme="majorEastAsia" w:cstheme="majorBidi"/>
      <w:b/>
      <w:color w:val="ED7D31"/>
      <w:szCs w:val="24"/>
    </w:rPr>
  </w:style>
  <w:style w:type="paragraph" w:styleId="Ttulo4">
    <w:name w:val="heading 4"/>
    <w:basedOn w:val="Normal"/>
    <w:next w:val="Normal"/>
    <w:link w:val="Ttulo4Char"/>
    <w:uiPriority w:val="9"/>
    <w:unhideWhenUsed/>
    <w:qFormat/>
    <w:rsid w:val="005B5E5B"/>
    <w:pPr>
      <w:keepNext/>
      <w:keepLines/>
      <w:numPr>
        <w:ilvl w:val="3"/>
        <w:numId w:val="22"/>
      </w:numPr>
      <w:spacing w:before="40" w:after="0"/>
      <w:ind w:left="2280"/>
      <w:outlineLvl w:val="3"/>
    </w:pPr>
    <w:rPr>
      <w:rFonts w:eastAsiaTheme="majorEastAsia" w:cstheme="majorBidi"/>
      <w:i/>
      <w:iCs/>
      <w:color w:val="ED7D31"/>
    </w:rPr>
  </w:style>
  <w:style w:type="paragraph" w:styleId="Ttulo5">
    <w:name w:val="heading 5"/>
    <w:basedOn w:val="Normal"/>
    <w:next w:val="Normal"/>
    <w:link w:val="Ttulo5Char"/>
    <w:uiPriority w:val="9"/>
    <w:semiHidden/>
    <w:unhideWhenUsed/>
    <w:qFormat/>
    <w:rsid w:val="006B0FB7"/>
    <w:pPr>
      <w:keepNext/>
      <w:keepLines/>
      <w:numPr>
        <w:ilvl w:val="4"/>
        <w:numId w:val="2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B0FB7"/>
    <w:pPr>
      <w:keepNext/>
      <w:keepLines/>
      <w:numPr>
        <w:ilvl w:val="5"/>
        <w:numId w:val="2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6B0FB7"/>
    <w:pPr>
      <w:keepNext/>
      <w:keepLines/>
      <w:numPr>
        <w:ilvl w:val="6"/>
        <w:numId w:val="2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6B0FB7"/>
    <w:pPr>
      <w:keepNext/>
      <w:keepLines/>
      <w:numPr>
        <w:ilvl w:val="7"/>
        <w:numId w:val="2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0FB7"/>
    <w:pPr>
      <w:keepNext/>
      <w:keepLines/>
      <w:numPr>
        <w:ilvl w:val="8"/>
        <w:numId w:val="22"/>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6B0FB7"/>
    <w:rPr>
      <w:rFonts w:asciiTheme="majorHAnsi" w:eastAsiaTheme="majorEastAsia" w:hAnsiTheme="majorHAnsi" w:cstheme="majorBidi"/>
      <w:b/>
      <w:color w:val="ED7D31"/>
      <w:sz w:val="20"/>
      <w:szCs w:val="20"/>
    </w:rPr>
  </w:style>
  <w:style w:type="character" w:customStyle="1" w:styleId="Ttulo2Char">
    <w:name w:val="Título 2 Char"/>
    <w:basedOn w:val="Fontepargpadro"/>
    <w:link w:val="Ttulo2"/>
    <w:uiPriority w:val="9"/>
    <w:rsid w:val="00314466"/>
    <w:rPr>
      <w:rFonts w:asciiTheme="majorHAnsi" w:eastAsiaTheme="majorEastAsia" w:hAnsiTheme="majorHAnsi" w:cstheme="majorBidi"/>
      <w:b/>
      <w:color w:val="44546A" w:themeColor="text2"/>
      <w:sz w:val="18"/>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574B2B"/>
    <w:rPr>
      <w:rFonts w:asciiTheme="majorHAnsi" w:eastAsiaTheme="majorEastAsia" w:hAnsiTheme="majorHAnsi" w:cstheme="majorBidi"/>
      <w:b/>
      <w:color w:val="ED7D31"/>
      <w:sz w:val="18"/>
      <w:szCs w:val="24"/>
    </w:rPr>
  </w:style>
  <w:style w:type="character" w:customStyle="1" w:styleId="Ttulo4Char">
    <w:name w:val="Título 4 Char"/>
    <w:basedOn w:val="Fontepargpadro"/>
    <w:link w:val="Ttulo4"/>
    <w:uiPriority w:val="9"/>
    <w:rsid w:val="005B5E5B"/>
    <w:rPr>
      <w:rFonts w:asciiTheme="majorHAnsi" w:eastAsiaTheme="majorEastAsia" w:hAnsiTheme="majorHAnsi" w:cstheme="majorBidi"/>
      <w:i/>
      <w:iCs/>
      <w:color w:val="ED7D31"/>
      <w:sz w:val="18"/>
    </w:rPr>
  </w:style>
  <w:style w:type="character" w:customStyle="1" w:styleId="Ttulo5Char">
    <w:name w:val="Título 5 Char"/>
    <w:basedOn w:val="Fontepargpadro"/>
    <w:link w:val="Ttulo5"/>
    <w:uiPriority w:val="9"/>
    <w:semiHidden/>
    <w:rsid w:val="006B0FB7"/>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6B0FB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6B0FB7"/>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6B0F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0FB7"/>
    <w:rPr>
      <w:rFonts w:asciiTheme="majorHAnsi" w:eastAsiaTheme="majorEastAsia" w:hAnsiTheme="majorHAnsi" w:cstheme="majorBidi"/>
      <w:i/>
      <w:iCs/>
      <w:color w:val="272727" w:themeColor="text1" w:themeTint="D8"/>
      <w:sz w:val="21"/>
      <w:szCs w:val="21"/>
    </w:rPr>
  </w:style>
  <w:style w:type="paragraph" w:styleId="Reviso">
    <w:name w:val="Revision"/>
    <w:hidden/>
    <w:uiPriority w:val="99"/>
    <w:semiHidden/>
    <w:rsid w:val="003032FD"/>
    <w:pPr>
      <w:spacing w:after="0" w:line="240" w:lineRule="auto"/>
    </w:pPr>
  </w:style>
  <w:style w:type="character" w:styleId="TextodoEspaoReservado">
    <w:name w:val="Placeholder Text"/>
    <w:basedOn w:val="Fontepargpadro"/>
    <w:uiPriority w:val="99"/>
    <w:semiHidden/>
    <w:rsid w:val="00C13039"/>
    <w:rPr>
      <w:color w:val="808080"/>
    </w:rPr>
  </w:style>
  <w:style w:type="paragraph" w:styleId="Sumrio3">
    <w:name w:val="toc 3"/>
    <w:basedOn w:val="Normal"/>
    <w:next w:val="Normal"/>
    <w:autoRedefine/>
    <w:uiPriority w:val="39"/>
    <w:unhideWhenUsed/>
    <w:rsid w:val="00B137CF"/>
    <w:pPr>
      <w:spacing w:after="100"/>
      <w:ind w:left="400"/>
    </w:pPr>
  </w:style>
  <w:style w:type="character" w:styleId="Refdecomentrio">
    <w:name w:val="annotation reference"/>
    <w:basedOn w:val="Fontepargpadro"/>
    <w:uiPriority w:val="99"/>
    <w:semiHidden/>
    <w:unhideWhenUsed/>
    <w:rsid w:val="00896418"/>
    <w:rPr>
      <w:sz w:val="16"/>
      <w:szCs w:val="16"/>
    </w:rPr>
  </w:style>
  <w:style w:type="paragraph" w:styleId="Textodecomentrio">
    <w:name w:val="annotation text"/>
    <w:basedOn w:val="Normal"/>
    <w:link w:val="TextodecomentrioChar"/>
    <w:uiPriority w:val="99"/>
    <w:semiHidden/>
    <w:unhideWhenUsed/>
    <w:rsid w:val="00896418"/>
    <w:pPr>
      <w:spacing w:line="240" w:lineRule="auto"/>
    </w:pPr>
    <w:rPr>
      <w:szCs w:val="20"/>
    </w:rPr>
  </w:style>
  <w:style w:type="character" w:customStyle="1" w:styleId="TextodecomentrioChar">
    <w:name w:val="Texto de comentário Char"/>
    <w:basedOn w:val="Fontepargpadro"/>
    <w:link w:val="Textodecomentrio"/>
    <w:uiPriority w:val="99"/>
    <w:semiHidden/>
    <w:rsid w:val="00896418"/>
    <w:rPr>
      <w:rFonts w:asciiTheme="majorHAnsi" w:hAnsiTheme="majorHAnsi"/>
      <w:color w:val="7F7F7F" w:themeColor="text1" w:themeTint="80"/>
      <w:sz w:val="20"/>
      <w:szCs w:val="20"/>
    </w:rPr>
  </w:style>
  <w:style w:type="paragraph" w:styleId="Assuntodocomentrio">
    <w:name w:val="annotation subject"/>
    <w:basedOn w:val="Textodecomentrio"/>
    <w:next w:val="Textodecomentrio"/>
    <w:link w:val="AssuntodocomentrioChar"/>
    <w:uiPriority w:val="99"/>
    <w:semiHidden/>
    <w:unhideWhenUsed/>
    <w:rsid w:val="00896418"/>
    <w:rPr>
      <w:b/>
      <w:bCs/>
    </w:rPr>
  </w:style>
  <w:style w:type="character" w:customStyle="1" w:styleId="AssuntodocomentrioChar">
    <w:name w:val="Assunto do comentário Char"/>
    <w:basedOn w:val="TextodecomentrioChar"/>
    <w:link w:val="Assuntodocomentrio"/>
    <w:uiPriority w:val="99"/>
    <w:semiHidden/>
    <w:rsid w:val="00896418"/>
    <w:rPr>
      <w:rFonts w:asciiTheme="majorHAnsi" w:hAnsiTheme="majorHAnsi"/>
      <w:b/>
      <w:bCs/>
      <w:color w:val="7F7F7F" w:themeColor="text1" w:themeTint="80"/>
      <w:sz w:val="20"/>
      <w:szCs w:val="20"/>
    </w:rPr>
  </w:style>
  <w:style w:type="table" w:styleId="Tabelacomgrade">
    <w:name w:val="Table Grid"/>
    <w:basedOn w:val="Tabelanormal"/>
    <w:uiPriority w:val="39"/>
    <w:rsid w:val="0020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5Escura-nfase11">
    <w:name w:val="Tabela de Grade 5 Escura - Ênfase 11"/>
    <w:basedOn w:val="Tabelanormal"/>
    <w:uiPriority w:val="50"/>
    <w:rsid w:val="002019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Lista1Clara-nfase31">
    <w:name w:val="Tabela de Lista 1 Clara - Ênfase 31"/>
    <w:basedOn w:val="Tabelanormal"/>
    <w:uiPriority w:val="46"/>
    <w:rsid w:val="00940C4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44">
      <w:bodyDiv w:val="1"/>
      <w:marLeft w:val="0"/>
      <w:marRight w:val="0"/>
      <w:marTop w:val="0"/>
      <w:marBottom w:val="0"/>
      <w:divBdr>
        <w:top w:val="none" w:sz="0" w:space="0" w:color="auto"/>
        <w:left w:val="none" w:sz="0" w:space="0" w:color="auto"/>
        <w:bottom w:val="none" w:sz="0" w:space="0" w:color="auto"/>
        <w:right w:val="none" w:sz="0" w:space="0" w:color="auto"/>
      </w:divBdr>
    </w:div>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08086013">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72379847">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09600222">
      <w:bodyDiv w:val="1"/>
      <w:marLeft w:val="0"/>
      <w:marRight w:val="0"/>
      <w:marTop w:val="0"/>
      <w:marBottom w:val="0"/>
      <w:divBdr>
        <w:top w:val="none" w:sz="0" w:space="0" w:color="auto"/>
        <w:left w:val="none" w:sz="0" w:space="0" w:color="auto"/>
        <w:bottom w:val="none" w:sz="0" w:space="0" w:color="auto"/>
        <w:right w:val="none" w:sz="0" w:space="0" w:color="auto"/>
      </w:divBdr>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459691228">
      <w:bodyDiv w:val="1"/>
      <w:marLeft w:val="0"/>
      <w:marRight w:val="0"/>
      <w:marTop w:val="0"/>
      <w:marBottom w:val="0"/>
      <w:divBdr>
        <w:top w:val="none" w:sz="0" w:space="0" w:color="auto"/>
        <w:left w:val="none" w:sz="0" w:space="0" w:color="auto"/>
        <w:bottom w:val="none" w:sz="0" w:space="0" w:color="auto"/>
        <w:right w:val="none" w:sz="0" w:space="0" w:color="auto"/>
      </w:divBdr>
    </w:div>
    <w:div w:id="493450560">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736173248">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029840889">
      <w:bodyDiv w:val="1"/>
      <w:marLeft w:val="0"/>
      <w:marRight w:val="0"/>
      <w:marTop w:val="0"/>
      <w:marBottom w:val="0"/>
      <w:divBdr>
        <w:top w:val="none" w:sz="0" w:space="0" w:color="auto"/>
        <w:left w:val="none" w:sz="0" w:space="0" w:color="auto"/>
        <w:bottom w:val="none" w:sz="0" w:space="0" w:color="auto"/>
        <w:right w:val="none" w:sz="0" w:space="0" w:color="auto"/>
      </w:divBdr>
    </w:div>
    <w:div w:id="1071082467">
      <w:bodyDiv w:val="1"/>
      <w:marLeft w:val="0"/>
      <w:marRight w:val="0"/>
      <w:marTop w:val="0"/>
      <w:marBottom w:val="0"/>
      <w:divBdr>
        <w:top w:val="none" w:sz="0" w:space="0" w:color="auto"/>
        <w:left w:val="none" w:sz="0" w:space="0" w:color="auto"/>
        <w:bottom w:val="none" w:sz="0" w:space="0" w:color="auto"/>
        <w:right w:val="none" w:sz="0" w:space="0" w:color="auto"/>
      </w:divBdr>
    </w:div>
    <w:div w:id="1096364718">
      <w:bodyDiv w:val="1"/>
      <w:marLeft w:val="0"/>
      <w:marRight w:val="0"/>
      <w:marTop w:val="0"/>
      <w:marBottom w:val="0"/>
      <w:divBdr>
        <w:top w:val="none" w:sz="0" w:space="0" w:color="auto"/>
        <w:left w:val="none" w:sz="0" w:space="0" w:color="auto"/>
        <w:bottom w:val="none" w:sz="0" w:space="0" w:color="auto"/>
        <w:right w:val="none" w:sz="0" w:space="0" w:color="auto"/>
      </w:divBdr>
    </w:div>
    <w:div w:id="1098451361">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19031560">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197503488">
      <w:bodyDiv w:val="1"/>
      <w:marLeft w:val="0"/>
      <w:marRight w:val="0"/>
      <w:marTop w:val="0"/>
      <w:marBottom w:val="0"/>
      <w:divBdr>
        <w:top w:val="none" w:sz="0" w:space="0" w:color="auto"/>
        <w:left w:val="none" w:sz="0" w:space="0" w:color="auto"/>
        <w:bottom w:val="none" w:sz="0" w:space="0" w:color="auto"/>
        <w:right w:val="none" w:sz="0" w:space="0" w:color="auto"/>
      </w:divBdr>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30995032">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276252353">
      <w:bodyDiv w:val="1"/>
      <w:marLeft w:val="0"/>
      <w:marRight w:val="0"/>
      <w:marTop w:val="0"/>
      <w:marBottom w:val="0"/>
      <w:divBdr>
        <w:top w:val="none" w:sz="0" w:space="0" w:color="auto"/>
        <w:left w:val="none" w:sz="0" w:space="0" w:color="auto"/>
        <w:bottom w:val="none" w:sz="0" w:space="0" w:color="auto"/>
        <w:right w:val="none" w:sz="0" w:space="0" w:color="auto"/>
      </w:divBdr>
    </w:div>
    <w:div w:id="1293438290">
      <w:bodyDiv w:val="1"/>
      <w:marLeft w:val="0"/>
      <w:marRight w:val="0"/>
      <w:marTop w:val="0"/>
      <w:marBottom w:val="0"/>
      <w:divBdr>
        <w:top w:val="none" w:sz="0" w:space="0" w:color="auto"/>
        <w:left w:val="none" w:sz="0" w:space="0" w:color="auto"/>
        <w:bottom w:val="none" w:sz="0" w:space="0" w:color="auto"/>
        <w:right w:val="none" w:sz="0" w:space="0" w:color="auto"/>
      </w:divBdr>
    </w:div>
    <w:div w:id="1314336515">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383481872">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4441290">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7184640">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163973">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618487710">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1759213103">
      <w:bodyDiv w:val="1"/>
      <w:marLeft w:val="0"/>
      <w:marRight w:val="0"/>
      <w:marTop w:val="0"/>
      <w:marBottom w:val="0"/>
      <w:divBdr>
        <w:top w:val="none" w:sz="0" w:space="0" w:color="auto"/>
        <w:left w:val="none" w:sz="0" w:space="0" w:color="auto"/>
        <w:bottom w:val="none" w:sz="0" w:space="0" w:color="auto"/>
        <w:right w:val="none" w:sz="0" w:space="0" w:color="auto"/>
      </w:divBdr>
    </w:div>
    <w:div w:id="1811285136">
      <w:bodyDiv w:val="1"/>
      <w:marLeft w:val="0"/>
      <w:marRight w:val="0"/>
      <w:marTop w:val="0"/>
      <w:marBottom w:val="0"/>
      <w:divBdr>
        <w:top w:val="none" w:sz="0" w:space="0" w:color="auto"/>
        <w:left w:val="none" w:sz="0" w:space="0" w:color="auto"/>
        <w:bottom w:val="none" w:sz="0" w:space="0" w:color="auto"/>
        <w:right w:val="none" w:sz="0" w:space="0" w:color="auto"/>
      </w:divBdr>
    </w:div>
    <w:div w:id="1812138392">
      <w:bodyDiv w:val="1"/>
      <w:marLeft w:val="0"/>
      <w:marRight w:val="0"/>
      <w:marTop w:val="0"/>
      <w:marBottom w:val="0"/>
      <w:divBdr>
        <w:top w:val="none" w:sz="0" w:space="0" w:color="auto"/>
        <w:left w:val="none" w:sz="0" w:space="0" w:color="auto"/>
        <w:bottom w:val="none" w:sz="0" w:space="0" w:color="auto"/>
        <w:right w:val="none" w:sz="0" w:space="0" w:color="auto"/>
      </w:divBdr>
    </w:div>
    <w:div w:id="1812821759">
      <w:bodyDiv w:val="1"/>
      <w:marLeft w:val="0"/>
      <w:marRight w:val="0"/>
      <w:marTop w:val="0"/>
      <w:marBottom w:val="0"/>
      <w:divBdr>
        <w:top w:val="none" w:sz="0" w:space="0" w:color="auto"/>
        <w:left w:val="none" w:sz="0" w:space="0" w:color="auto"/>
        <w:bottom w:val="none" w:sz="0" w:space="0" w:color="auto"/>
        <w:right w:val="none" w:sz="0" w:space="0" w:color="auto"/>
      </w:divBdr>
    </w:div>
    <w:div w:id="1826622353">
      <w:bodyDiv w:val="1"/>
      <w:marLeft w:val="0"/>
      <w:marRight w:val="0"/>
      <w:marTop w:val="0"/>
      <w:marBottom w:val="0"/>
      <w:divBdr>
        <w:top w:val="none" w:sz="0" w:space="0" w:color="auto"/>
        <w:left w:val="none" w:sz="0" w:space="0" w:color="auto"/>
        <w:bottom w:val="none" w:sz="0" w:space="0" w:color="auto"/>
        <w:right w:val="none" w:sz="0" w:space="0" w:color="auto"/>
      </w:divBdr>
    </w:div>
    <w:div w:id="2003002711">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19A3-8401-4E97-B9C7-0BCAF8BD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13931</Words>
  <Characters>75233</Characters>
  <Application>Microsoft Office Word</Application>
  <DocSecurity>0</DocSecurity>
  <Lines>626</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Reis</dc:creator>
  <cp:lastModifiedBy>Viviane</cp:lastModifiedBy>
  <cp:revision>3</cp:revision>
  <cp:lastPrinted>2019-11-18T17:26:00Z</cp:lastPrinted>
  <dcterms:created xsi:type="dcterms:W3CDTF">2019-11-18T17:42:00Z</dcterms:created>
  <dcterms:modified xsi:type="dcterms:W3CDTF">2021-01-07T13:58:00Z</dcterms:modified>
</cp:coreProperties>
</file>